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480"/>
        <w:ind w:left="100" w:right="-31"/>
      </w:pP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       </w:t>
      </w:r>
      <w:r>
        <w:rPr>
          <w:rFonts w:cs="Arial" w:hAnsi="Arial" w:eastAsia="Arial" w:ascii="Arial"/>
          <w:color w:val="22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Bid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#: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</w:t>
      </w:r>
      <w:r>
        <w:rPr>
          <w:rFonts w:cs="Arial" w:hAnsi="Arial" w:eastAsia="Arial" w:ascii="Arial"/>
          <w:color w:val="221F1F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Location: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Name: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</w:t>
      </w:r>
      <w:r>
        <w:rPr>
          <w:rFonts w:cs="Arial" w:hAnsi="Arial" w:eastAsia="Arial" w:ascii="Arial"/>
          <w:color w:val="221F1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Engineer: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Contractor: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</w:t>
      </w:r>
      <w:r>
        <w:rPr>
          <w:rFonts w:cs="Arial" w:hAnsi="Arial" w:eastAsia="Arial" w:ascii="Arial"/>
          <w:color w:val="221F1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Prepared</w:t>
      </w:r>
      <w:r>
        <w:rPr>
          <w:rFonts w:cs="Arial" w:hAnsi="Arial" w:eastAsia="Arial" w:ascii="Arial"/>
          <w:color w:val="221F1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By: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Swis721 BlkCn BT" w:hAnsi="Swis721 BlkCn BT" w:eastAsia="Swis721 BlkCn BT" w:ascii="Swis721 BlkCn BT"/>
          <w:sz w:val="64"/>
          <w:szCs w:val="64"/>
        </w:rPr>
        <w:jc w:val="left"/>
        <w:spacing w:lineRule="exact" w:line="760"/>
      </w:pPr>
      <w:r>
        <w:br w:type="column"/>
      </w:r>
      <w:r>
        <w:rPr>
          <w:rFonts w:cs="Swis721 BlkCn BT" w:hAnsi="Swis721 BlkCn BT" w:eastAsia="Swis721 BlkCn BT" w:ascii="Swis721 BlkCn BT"/>
          <w:color w:val="221F1F"/>
          <w:spacing w:val="-20"/>
          <w:w w:val="100"/>
          <w:sz w:val="64"/>
          <w:szCs w:val="64"/>
        </w:rPr>
        <w:t>NeoTherm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64"/>
          <w:szCs w:val="64"/>
        </w:rPr>
      </w:r>
    </w:p>
    <w:p>
      <w:pPr>
        <w:rPr>
          <w:rFonts w:cs="Swis721 BlkCn BT" w:hAnsi="Swis721 BlkCn BT" w:eastAsia="Swis721 BlkCn BT" w:ascii="Swis721 BlkCn BT"/>
          <w:sz w:val="48"/>
          <w:szCs w:val="48"/>
        </w:rPr>
        <w:jc w:val="left"/>
        <w:spacing w:lineRule="exact" w:line="500"/>
      </w:pPr>
      <w:r>
        <w:rPr>
          <w:rFonts w:cs="Swis721 BlkCn BT" w:hAnsi="Swis721 BlkCn BT" w:eastAsia="Swis721 BlkCn BT" w:ascii="Swis721 BlkCn BT"/>
          <w:color w:val="221F1F"/>
          <w:spacing w:val="-10"/>
          <w:w w:val="100"/>
          <w:position w:val="1"/>
          <w:sz w:val="48"/>
          <w:szCs w:val="48"/>
        </w:rPr>
        <w:t>Boile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position w:val="1"/>
          <w:sz w:val="48"/>
          <w:szCs w:val="48"/>
        </w:rPr>
        <w:t>r</w:t>
      </w:r>
      <w:r>
        <w:rPr>
          <w:rFonts w:cs="Swis721 BlkCn BT" w:hAnsi="Swis721 BlkCn BT" w:eastAsia="Swis721 BlkCn BT" w:ascii="Swis721 BlkCn BT"/>
          <w:color w:val="221F1F"/>
          <w:spacing w:val="-34"/>
          <w:w w:val="100"/>
          <w:position w:val="1"/>
          <w:sz w:val="48"/>
          <w:szCs w:val="48"/>
        </w:rPr>
        <w:t> </w:t>
      </w:r>
      <w:r>
        <w:rPr>
          <w:rFonts w:cs="Swis721 BlkCn BT" w:hAnsi="Swis721 BlkCn BT" w:eastAsia="Swis721 BlkCn BT" w:ascii="Swis721 BlkCn BT"/>
          <w:color w:val="221F1F"/>
          <w:spacing w:val="-10"/>
          <w:w w:val="100"/>
          <w:position w:val="1"/>
          <w:sz w:val="48"/>
          <w:szCs w:val="48"/>
        </w:rPr>
        <w:t>wit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position w:val="1"/>
          <w:sz w:val="48"/>
          <w:szCs w:val="48"/>
        </w:rPr>
        <w:t>h</w:t>
      </w:r>
      <w:r>
        <w:rPr>
          <w:rFonts w:cs="Swis721 BlkCn BT" w:hAnsi="Swis721 BlkCn BT" w:eastAsia="Swis721 BlkCn BT" w:ascii="Swis721 BlkCn BT"/>
          <w:color w:val="221F1F"/>
          <w:spacing w:val="-34"/>
          <w:w w:val="100"/>
          <w:position w:val="1"/>
          <w:sz w:val="48"/>
          <w:szCs w:val="48"/>
        </w:rPr>
        <w:t> </w:t>
      </w:r>
      <w:r>
        <w:rPr>
          <w:rFonts w:cs="Swis721 BlkCn BT" w:hAnsi="Swis721 BlkCn BT" w:eastAsia="Swis721 BlkCn BT" w:ascii="Swis721 BlkCn BT"/>
          <w:color w:val="221F1F"/>
          <w:spacing w:val="-10"/>
          <w:w w:val="100"/>
          <w:position w:val="1"/>
          <w:sz w:val="48"/>
          <w:szCs w:val="48"/>
        </w:rPr>
        <w:t>Pump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position w:val="0"/>
          <w:sz w:val="48"/>
          <w:szCs w:val="4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90"/>
      </w:pPr>
      <w:r>
        <w:pict>
          <v:group style="position:absolute;margin-left:410.25pt;margin-top:-2.10811pt;width:166.05pt;height:14.5pt;mso-position-horizontal-relative:page;mso-position-vertical-relative:paragraph;z-index:-190" coordorigin="8205,-42" coordsize="3321,290">
            <v:shape style="position:absolute;left:8205;top:-42;width:3321;height:290" coordorigin="8205,-42" coordsize="3321,290" path="m8205,-42l11526,-42,11526,248,8205,248,8205,-42xe" filled="f" stroked="t" strokeweight="0.5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Model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NTH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80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&amp;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105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Indoor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sectPr>
          <w:pgSz w:w="12240" w:h="15840"/>
          <w:pgMar w:top="340" w:bottom="280" w:left="980" w:right="620"/>
          <w:cols w:num="2" w:equalWidth="off">
            <w:col w:w="4751" w:space="2469"/>
            <w:col w:w="3420"/>
          </w:cols>
        </w:sectPr>
      </w:pPr>
      <w:r>
        <w:rPr>
          <w:rFonts w:cs="Arial" w:hAnsi="Arial" w:eastAsia="Arial" w:ascii="Arial"/>
          <w:b/>
          <w:i/>
          <w:color w:val="221F1F"/>
          <w:spacing w:val="0"/>
          <w:w w:val="100"/>
          <w:sz w:val="24"/>
          <w:szCs w:val="24"/>
        </w:rPr>
        <w:t>Specification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Contractor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supply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Qty.: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       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Laars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Model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No.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               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modulating,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pump-mounted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boiler(s).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Laars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NeoTherm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               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-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schedule.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20-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 w:lineRule="auto" w:line="260"/>
        <w:ind w:left="100" w:right="11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100%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design-certified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current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Harmonized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Z21.13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CSA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4.9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Gas-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Steam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accordance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&amp;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Vessel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IV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maximum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bear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"H"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listed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National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Board.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efficiency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ASHRAE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90.1.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relief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(207kPa).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3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listed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U.S.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Department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Energy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Energy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appliance.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listed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AH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Conditioning,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Refrigeration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Institute).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minimum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AFUE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90%.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2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volume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welded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gaskets,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o-rings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bolts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header.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accessible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vi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inspection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cleaning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internal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surfaces.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drain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trap.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limited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twelve-year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warranty.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connected),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safety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components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factory.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2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sealed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affect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seal.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shell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finished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acrylic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thermo-set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baked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325°F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(163°C).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strength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protection.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sight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glass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viewing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zero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clearance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combustible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surfaces.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57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split,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removable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disconnecting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conduit.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wired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flanged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field.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capable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serving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boiler's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size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boiler's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normal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number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fit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ings.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4-13"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w.c.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component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changes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altitude,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10,000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43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premix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woven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fiber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wrap,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negative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cleanly,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emissions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exceeding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10ppm.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emissions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SCAQMD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2012.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0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vertical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Category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IV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venting,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material,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material.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taken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room,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sidewall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17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120VAC,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single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phase,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Amps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(including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mounted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15A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breaker.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cir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uit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24VAC.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21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integrated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electronic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LCD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touchpad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three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structures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set-up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diagnostic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model.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visible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1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When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field-replaced,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read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original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t-up,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re-programmed.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3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eatures.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cascade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other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NeoTherm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controllers,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additional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controllers.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full-color,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definition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LCD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touch-screen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available,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additional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communication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ports.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48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integrate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priority,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recognize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closure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tank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equipment.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32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customizable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curves,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based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desired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equipment.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592"/>
        <w:sectPr>
          <w:type w:val="continuous"/>
          <w:pgSz w:w="12240" w:h="15840"/>
          <w:pgMar w:top="340" w:bottom="280" w:left="980" w:right="620"/>
        </w:sectPr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accept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0-10VDC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external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building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automat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dry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alarm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contacts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failure.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pict>
          <v:group style="position:absolute;margin-left:54pt;margin-top:155pt;width:180pt;height:0pt;mso-position-horizontal-relative:page;mso-position-vertical-relative:page;z-index:-191" coordorigin="1080,3100" coordsize="3600,0">
            <v:shape style="position:absolute;left:1080;top:3100;width:3600;height:0" coordorigin="1080,3100" coordsize="3600,0" path="m1080,3100l4680,3100e" filled="f" stroked="t" strokeweight="12pt" strokecolor="#221F1F">
              <v:path arrowok="t"/>
            </v:shape>
            <w10:wrap type="none"/>
          </v:group>
        </w:pict>
      </w:r>
      <w:r>
        <w:pict>
          <v:group style="position:absolute;margin-left:54pt;margin-top:30pt;width:344pt;height:0pt;mso-position-horizontal-relative:page;mso-position-vertical-relative:page;z-index:-192" coordorigin="1080,600" coordsize="6880,0">
            <v:shape style="position:absolute;left:1080;top:600;width:6880;height:0" coordorigin="1080,600" coordsize="6880,0" path="m1080,600l7960,600e" filled="f" stroked="t" strokeweight="12pt" strokecolor="#221F1F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 w:right="-44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monitor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flue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stop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excessive.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ectPr>
          <w:type w:val="continuous"/>
          <w:pgSz w:w="12240" w:h="15840"/>
          <w:pgMar w:top="340" w:bottom="280" w:left="980" w:right="620"/>
          <w:cols w:num="2" w:equalWidth="off">
            <w:col w:w="7829" w:space="1671"/>
            <w:col w:w="1140"/>
          </w:cols>
        </w:sectPr>
      </w:pP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continued</w:t>
      </w:r>
      <w:r>
        <w:rPr>
          <w:rFonts w:cs="Arial" w:hAnsi="Arial" w:eastAsia="Arial" w:ascii="Arial"/>
          <w:i/>
          <w:color w:val="221F1F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&gt;&gt;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0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button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choose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including: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Login;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Quick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Start;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Advanced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 w:lineRule="auto" w:line="443"/>
        <w:ind w:left="120" w:right="2064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Diagnostics.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button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active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regardless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showing.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Login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password-protected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LCD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contrast,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customize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display’s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 w:lineRule="auto" w:line="260"/>
        <w:ind w:left="120" w:right="16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choose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following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tempera-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rise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(delta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speed,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level.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also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icate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name,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demand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password-level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holds,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alerts,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lockouts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present.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accessible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button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Quick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Start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select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needed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simple,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single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installation.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20" w:right="14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Advanced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complex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installations,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includin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on/off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differentials,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on/off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differentials,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priority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exercise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values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controlled,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meters,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selection,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weather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shutdown,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automatic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detec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anti-short-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cycle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feature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adjustment,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°F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°C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60"/>
        <w:ind w:left="120" w:right="17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minimum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maximum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minutes,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set-up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purposes.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also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turned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off,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auto,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purposes.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count-down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enabling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much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segment.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20" w:right="27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Diagnostics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analog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digital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history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alerts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lockouts.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Analog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nputs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rise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(delta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speed,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level,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Digital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alarm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demand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safety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interlock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information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holds,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alerts,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errors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text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form,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codes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numbers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further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analysis.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1" w:lineRule="exact" w:line="280"/>
        <w:sectPr>
          <w:pgSz w:w="12240" w:h="15840"/>
          <w:pgMar w:top="380" w:bottom="280" w:left="600" w:right="94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20"/>
      </w:pP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features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include: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condensing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efficiency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down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20%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/>
        <w:ind w:left="3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(5:1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turndown)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Sealed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chamber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Pre-mix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300" w:right="132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NOx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exceeds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stringent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regulations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quality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10ppm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NOx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vertical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300" w:right="-28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lengths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(each)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trap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pict>
          <v:group style="position:absolute;margin-left:35pt;margin-top:715.5pt;width:522.5pt;height:0pt;mso-position-horizontal-relative:page;mso-position-vertical-relative:page;z-index:-189" coordorigin="700,14310" coordsize="10450,0">
            <v:shape style="position:absolute;left:700;top:14310;width:10450;height:0" coordorigin="700,14310" coordsize="10450,0" path="m700,14310l11150,14310e" filled="f" stroked="t" strokeweight="1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cutoff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363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heater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priority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included)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-8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413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welded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construction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"H"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stamp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52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Circulating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flanges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harness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field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mounting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172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relie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gauge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Drain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-28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Multiple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delay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Electronic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spark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ignition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Large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user-interface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Alarm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output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Accepts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external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0-10VDC)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6"/>
        <w:ind w:left="148" w:right="1998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modulation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included)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On/Off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toggle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switch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Manual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glass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Flue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cutoff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Zero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clearance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surfaces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type w:val="continuous"/>
          <w:pgSz w:w="12240" w:h="15840"/>
          <w:pgMar w:top="340" w:bottom="280" w:left="600" w:right="940"/>
          <w:cols w:num="3" w:equalWidth="off">
            <w:col w:w="2960" w:space="720"/>
            <w:col w:w="3120" w:space="440"/>
            <w:col w:w="3460"/>
          </w:cols>
        </w:sectPr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12-year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limited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warranty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8"/>
        <w:ind w:left="3957" w:right="1208"/>
      </w:pPr>
      <w:r>
        <w:pict>
          <v:shape type="#_x0000_t75" style="position:absolute;margin-left:35.605pt;margin-top:723.075pt;width:130.403pt;height:46.135pt;mso-position-horizontal-relative:page;mso-position-vertical-relative:page;z-index:-188">
            <v:imagedata o:title="" r:id="rId3"/>
          </v:shape>
        </w:pic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800.900.9276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800.559.1583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(Customer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Service,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Advisors)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4"/>
        <w:ind w:left="2837" w:right="87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Industrial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2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Rochester,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NH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03867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603.335.6300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603.335.3355</w:t>
      </w:r>
      <w:r>
        <w:rPr>
          <w:rFonts w:cs="Arial" w:hAnsi="Arial" w:eastAsia="Arial" w:ascii="Arial"/>
          <w:color w:val="221F1F"/>
          <w:spacing w:val="-19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(Applications</w:t>
      </w:r>
      <w:r>
        <w:rPr>
          <w:rFonts w:cs="Arial" w:hAnsi="Arial" w:eastAsia="Arial" w:ascii="Arial"/>
          <w:b/>
          <w:i/>
          <w:color w:val="221F1F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Engineering)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44"/>
        <w:ind w:left="3034" w:right="293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1869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Sismet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Road,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Mississauga,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Ontario,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Canada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L4W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1W8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905.238.0100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905.366.0130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55"/>
        <w:ind w:left="3937" w:right="1216"/>
      </w:pPr>
      <w:hyperlink r:id="rId4"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ww</w:t>
        </w:r>
        <w:r>
          <w:rPr>
            <w:rFonts w:cs="Arial" w:hAnsi="Arial" w:eastAsia="Arial" w:ascii="Arial"/>
            <w:b/>
            <w:i/>
            <w:color w:val="221F1F"/>
            <w:spacing w:val="-10"/>
            <w:w w:val="100"/>
            <w:position w:val="1"/>
            <w:sz w:val="18"/>
            <w:szCs w:val="18"/>
          </w:rPr>
          <w:t>w</w:t>
        </w:r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.Laars.com</w:t>
        </w:r>
      </w:hyperlink>
      <w:r>
        <w:rPr>
          <w:rFonts w:cs="Arial" w:hAnsi="Arial" w:eastAsia="Arial" w:ascii="Arial"/>
          <w:b/>
          <w:i/>
          <w:color w:val="221F1F"/>
          <w:spacing w:val="0"/>
          <w:w w:val="100"/>
          <w:position w:val="1"/>
          <w:sz w:val="18"/>
          <w:szCs w:val="18"/>
        </w:rPr>
        <w:t>        </w:t>
      </w:r>
      <w:r>
        <w:rPr>
          <w:rFonts w:cs="Arial" w:hAnsi="Arial" w:eastAsia="Arial" w:ascii="Arial"/>
          <w:b/>
          <w:i/>
          <w:color w:val="221F1F"/>
          <w:spacing w:val="4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Litho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in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U.S.A.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©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Laars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Heating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Systems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12</w:t>
      </w:r>
      <w:r>
        <w:rPr>
          <w:rFonts w:cs="Arial" w:hAnsi="Arial" w:eastAsia="Arial" w:ascii="Arial"/>
          <w:color w:val="221F1F"/>
          <w:spacing w:val="-10"/>
          <w:w w:val="100"/>
          <w:position w:val="0"/>
          <w:sz w:val="12"/>
          <w:szCs w:val="12"/>
        </w:rPr>
        <w:t>1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1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Document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5088-1</w:t>
      </w:r>
      <w:r>
        <w:rPr>
          <w:rFonts w:cs="Arial" w:hAnsi="Arial" w:eastAsia="Arial" w:ascii="Arial"/>
          <w:color w:val="221F1F"/>
          <w:spacing w:val="-3"/>
          <w:w w:val="100"/>
          <w:position w:val="0"/>
          <w:sz w:val="12"/>
          <w:szCs w:val="12"/>
        </w:rPr>
        <w:t>1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240" w:h="15840"/>
      <w:pgMar w:top="340" w:bottom="280" w:left="60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yperlink" Target="http://www.Laars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