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556"/>
        <w:ind w:left="140" w:right="-31"/>
      </w:pPr>
      <w:r>
        <w:pict>
          <v:group style="position:absolute;margin-left:54pt;margin-top:30pt;width:344pt;height:0pt;mso-position-horizontal-relative:page;mso-position-vertical-relative:page;z-index:-233" coordorigin="1080,600" coordsize="6880,0">
            <v:shape style="position:absolute;left:1080;top:600;width:6880;height:0" coordorigin="1080,600" coordsize="6880,0" path="m1080,600l7960,600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103.942pt;width:180pt;height:0pt;mso-position-horizontal-relative:page;mso-position-vertical-relative:paragraph;z-index:-232" coordorigin="1080,2079" coordsize="3600,0">
            <v:shape style="position:absolute;left:1080;top:2079;width:3600;height:0" coordorigin="1080,2079" coordsize="3600,0" path="m1080,2079l4680,2079e" filled="f" stroked="t" strokeweight="12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0"/>
          <w:szCs w:val="60"/>
        </w:rPr>
        <w:jc w:val="left"/>
        <w:spacing w:before="2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Might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56"/>
          <w:szCs w:val="56"/>
        </w:rPr>
        <w:t>y</w:t>
      </w:r>
      <w:r>
        <w:rPr>
          <w:rFonts w:cs="Swis721 BlkCn BT" w:hAnsi="Swis721 BlkCn BT" w:eastAsia="Swis721 BlkCn BT" w:ascii="Swis721 BlkCn BT"/>
          <w:color w:val="221F1F"/>
          <w:spacing w:val="-19"/>
          <w:w w:val="100"/>
          <w:sz w:val="56"/>
          <w:szCs w:val="56"/>
        </w:rPr>
        <w:t> </w:t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Ther</w:t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56"/>
          <w:szCs w:val="56"/>
        </w:rPr>
        <w:t>m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60"/>
          <w:szCs w:val="60"/>
        </w:rPr>
        <w:t>2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0"/>
          <w:szCs w:val="60"/>
        </w:rPr>
      </w:r>
    </w:p>
    <w:p>
      <w:pPr>
        <w:rPr>
          <w:rFonts w:cs="Swis721 BlkCn BT" w:hAnsi="Swis721 BlkCn BT" w:eastAsia="Swis721 BlkCn BT" w:ascii="Swis721 BlkCn BT"/>
          <w:sz w:val="44"/>
          <w:szCs w:val="44"/>
        </w:rPr>
        <w:jc w:val="left"/>
        <w:spacing w:before="25"/>
      </w:pPr>
      <w:r>
        <w:rPr>
          <w:rFonts w:cs="Swis721 BlkCn BT" w:hAnsi="Swis721 BlkCn BT" w:eastAsia="Swis721 BlkCn BT" w:ascii="Swis721 BlkCn BT"/>
          <w:color w:val="221F1F"/>
          <w:spacing w:val="-11"/>
          <w:w w:val="100"/>
          <w:sz w:val="44"/>
          <w:szCs w:val="44"/>
        </w:rPr>
        <w:t>P</w:t>
      </w:r>
      <w:r>
        <w:rPr>
          <w:rFonts w:cs="Swis721 BlkCn BT" w:hAnsi="Swis721 BlkCn BT" w:eastAsia="Swis721 BlkCn BT" w:ascii="Swis721 BlkCn BT"/>
          <w:color w:val="221F1F"/>
          <w:spacing w:val="-7"/>
          <w:w w:val="100"/>
          <w:sz w:val="44"/>
          <w:szCs w:val="44"/>
        </w:rPr>
        <w:t>ump-Mounted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44"/>
          <w:szCs w:val="44"/>
        </w:rPr>
      </w:r>
    </w:p>
    <w:p>
      <w:pPr>
        <w:rPr>
          <w:rFonts w:cs="Swis721 BlkCn BT" w:hAnsi="Swis721 BlkCn BT" w:eastAsia="Swis721 BlkCn BT" w:ascii="Swis721 BlkCn BT"/>
          <w:sz w:val="44"/>
          <w:szCs w:val="44"/>
        </w:rPr>
        <w:jc w:val="left"/>
        <w:spacing w:before="32"/>
      </w:pPr>
      <w:r>
        <w:rPr>
          <w:rFonts w:cs="Swis721 BlkCn BT" w:hAnsi="Swis721 BlkCn BT" w:eastAsia="Swis721 BlkCn BT" w:ascii="Swis721 BlkCn BT"/>
          <w:color w:val="221F1F"/>
          <w:spacing w:val="-8"/>
          <w:w w:val="100"/>
          <w:sz w:val="44"/>
          <w:szCs w:val="44"/>
        </w:rPr>
        <w:t>Hydroni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44"/>
          <w:szCs w:val="44"/>
        </w:rPr>
        <w:t>c</w:t>
      </w:r>
      <w:r>
        <w:rPr>
          <w:rFonts w:cs="Swis721 BlkCn BT" w:hAnsi="Swis721 BlkCn BT" w:eastAsia="Swis721 BlkCn BT" w:ascii="Swis721 BlkCn BT"/>
          <w:color w:val="221F1F"/>
          <w:spacing w:val="-12"/>
          <w:w w:val="100"/>
          <w:sz w:val="44"/>
          <w:szCs w:val="44"/>
        </w:rPr>
        <w:t> </w:t>
      </w:r>
      <w:r>
        <w:rPr>
          <w:rFonts w:cs="Swis721 BlkCn BT" w:hAnsi="Swis721 BlkCn BT" w:eastAsia="Swis721 BlkCn BT" w:ascii="Swis721 BlkCn BT"/>
          <w:color w:val="221F1F"/>
          <w:spacing w:val="-8"/>
          <w:w w:val="100"/>
          <w:sz w:val="44"/>
          <w:szCs w:val="44"/>
        </w:rPr>
        <w:t>Boiler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44"/>
          <w:szCs w:val="4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10.25pt;margin-top:-2.20811pt;width:166.05pt;height:14.5pt;mso-position-horizontal-relative:page;mso-position-vertical-relative:paragraph;z-index:-231" coordorigin="8205,-44" coordsize="3321,290">
            <v:shape style="position:absolute;left:8205;top:-44;width:3321;height:290" coordorigin="8205,-44" coordsize="3321,290" path="m8205,-44l11526,-44,11526,246,8205,246,8205,-44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MT2H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200-400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Indoor/Outdoor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pgSz w:w="12240" w:h="15840"/>
          <w:pgMar w:top="320" w:bottom="280" w:left="940" w:right="580"/>
          <w:cols w:num="2" w:equalWidth="off">
            <w:col w:w="4791" w:space="2469"/>
            <w:col w:w="346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Contractor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supply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install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pump-mounted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boiler(s).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74" w:lineRule="auto" w:line="257"/>
        <w:ind w:left="120" w:right="14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Mighty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Therm2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shown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schedule.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Z21.13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CSA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4.9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Gas-Fired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Steam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bear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"H"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Stamp.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latest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SHRAE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90.1.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60" w:lineRule="auto" w:line="257"/>
        <w:ind w:left="120" w:right="26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straight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5/8"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(16mm)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copper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tubes,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gask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non-metallic,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separated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eliminate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deterioration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covers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visual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year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47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complete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facilitate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maintenance.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31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complete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in-line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wired,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correct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thirty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1-1/2"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normal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number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fittings,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primary/secondary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applications.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1" w:lineRule="auto" w:line="257"/>
        <w:ind w:left="120" w:right="242" w:firstLine="180"/>
      </w:pP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us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prove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ho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surfac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ignitio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secon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pre-purg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cycl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clea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ou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97"/>
          <w:sz w:val="17"/>
          <w:szCs w:val="17"/>
        </w:rPr>
        <w:t>combustio</w:t>
      </w:r>
      <w:r>
        <w:rPr>
          <w:rFonts w:cs="Arial" w:hAnsi="Arial" w:eastAsia="Arial" w:ascii="Arial"/>
          <w:color w:val="221F1F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8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-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Upo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flam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detected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ignitio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modul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mor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times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lockout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-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los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flam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igna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durin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ignitio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attemp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re-ignitio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cycle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befor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lockin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ignitio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terminal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checkin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signa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withou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havin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remov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acces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ignitor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circui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24V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Uni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120V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singl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phase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les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221F1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Amps.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15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multi-port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10ppm.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easily-removable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assemblies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18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one-piece,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formed,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lightweight,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ceramic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fiberboard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insulation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retain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approved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2000°F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(1093°C).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rylic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41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forced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85%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B-vent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fan-assisted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III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quire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hood.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room.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combination.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Changing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top-to-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back-to-top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orientation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accomplished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field.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80" w:lineRule="auto" w:line="257"/>
        <w:ind w:left="120" w:right="229" w:firstLine="243"/>
      </w:pP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standar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on/of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optio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two-stag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equippe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mperature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outdoo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weathe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shutdown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domesti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operation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automati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differential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sensor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indicato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power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domesti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weathe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shutdown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exercis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features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blower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manua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rese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hig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termina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stri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wirin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troubleshooting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externa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selecto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switc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enabl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choos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betwee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field-supplie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withou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bypassin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safet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flip-u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easy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acces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components.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17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shutoff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redundant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seat(s)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regulator(s).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20" w:right="49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washable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83%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arrestence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rotect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blower(s)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debris.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open-cell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polyurethane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foam.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/>
        <w:ind w:right="140"/>
        <w:sectPr>
          <w:type w:val="continuous"/>
          <w:pgSz w:w="12240" w:h="15840"/>
          <w:pgMar w:top="320" w:bottom="280" w:left="940" w:right="580"/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70" w:lineRule="exact" w:line="180"/>
        <w:ind w:left="140"/>
      </w:pP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Standard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features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shall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26"/>
          <w:szCs w:val="26"/>
        </w:rPr>
        <w:jc w:val="left"/>
        <w:spacing w:lineRule="exact" w:line="260"/>
        <w:sectPr>
          <w:pgSz w:w="12240" w:h="15840"/>
          <w:pgMar w:top="840" w:bottom="280" w:left="580" w:right="9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8" w:lineRule="auto" w:line="257"/>
        <w:ind w:left="260" w:right="-29" w:hanging="12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0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“H”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stamp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wired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connections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right="-49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54"/>
        <w:ind w:left="134" w:right="478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III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systems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 w:lineRule="exact" w:line="180"/>
      </w:pPr>
      <w:r>
        <w:pict>
          <v:shape type="#_x0000_t202" style="position:absolute;margin-left:34pt;margin-top:129.626pt;width:523.5pt;height:132.976pt;mso-position-horizontal-relative:page;mso-position-vertical-relative:page;z-index:-2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5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Glass-line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headers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External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header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gaskets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8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site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glass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4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controller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Flo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Manual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reset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high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limit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 w:lineRule="auto" w:line="257"/>
                          <w:ind w:left="160" w:right="586" w:hanging="12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psi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(517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kPa)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rated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relief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valve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1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doo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rese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wit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ratio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4"/>
                          <w:ind w:left="762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0.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3.6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Fusible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link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(size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200)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On-off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firing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Temperature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gauge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10"/>
                            <w:w w:val="100"/>
                            <w:position w:val="1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weathe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shu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down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Certified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indoor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outdoor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use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Multiple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operating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valve/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764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4"/>
                            <w:sz w:val="17"/>
                            <w:szCs w:val="17"/>
                          </w:rPr>
                          <w:t>call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4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4"/>
                            <w:sz w:val="17"/>
                            <w:szCs w:val="17"/>
                          </w:rPr>
                          <w:t>DH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4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4"/>
                            <w:sz w:val="17"/>
                            <w:szCs w:val="17"/>
                          </w:rPr>
                          <w:t>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4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4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4"/>
                            <w:sz w:val="17"/>
                            <w:szCs w:val="17"/>
                          </w:rPr>
                          <w:t>WWSD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Hot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surface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ignition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center"/>
                          <w:spacing w:lineRule="exact" w:line="160"/>
                          <w:ind w:left="127" w:right="1322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pressur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regulators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center"/>
                          <w:spacing w:before="54"/>
                          <w:ind w:left="7" w:right="1192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Manual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“A”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valve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63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DH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operation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4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4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Automati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boile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0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ferential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On/off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toggle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Pump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time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delay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Intake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air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filter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Pum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pre-purge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post-purge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9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CSD-1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compliant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195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2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Removable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burner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tray(s)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761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exercise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 w:lineRule="exact" w:line="160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3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3"/>
                            <w:sz w:val="17"/>
                            <w:szCs w:val="17"/>
                          </w:rPr>
                          <w:t>Less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3"/>
                            <w:sz w:val="17"/>
                            <w:szCs w:val="17"/>
                          </w:rPr>
                          <w:t>than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3"/>
                            <w:sz w:val="17"/>
                            <w:szCs w:val="17"/>
                          </w:rPr>
                          <w:t>10ppm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3"/>
                            <w:sz w:val="17"/>
                            <w:szCs w:val="17"/>
                          </w:rPr>
                          <w:t>NOx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29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61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Blowe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pre-purg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post-purge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Blocked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9" w:lineRule="auto" w:line="257"/>
        <w:ind w:left="145" w:right="850" w:hanging="145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Inlet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outlet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ou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doo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supply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sensors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Code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senso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errors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24V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system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sectPr>
          <w:type w:val="continuous"/>
          <w:pgSz w:w="12240" w:h="15840"/>
          <w:pgMar w:top="320" w:bottom="280" w:left="580" w:right="940"/>
          <w:cols w:num="3" w:equalWidth="off">
            <w:col w:w="2681" w:space="1019"/>
            <w:col w:w="2051" w:space="1509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115/24V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transformer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38" w:lineRule="exact" w:line="180"/>
        <w:ind w:left="3667" w:right="4515"/>
      </w:pPr>
      <w:r>
        <w:pict>
          <v:group style="position:absolute;margin-left:35pt;margin-top:715.5pt;width:522.5pt;height:0pt;mso-position-horizontal-relative:page;mso-position-vertical-relative:page;z-index:-230" coordorigin="700,14310" coordsize="10450,0">
            <v:shape style="position:absolute;left:700;top:14310;width:10450;height:0" coordorigin="700,14310" coordsize="10450,0" path="m700,14310l11150,14310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Indicato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ligh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ts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fo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powe</w:t>
      </w:r>
      <w:r>
        <w:rPr>
          <w:rFonts w:cs="Arial" w:hAnsi="Arial" w:eastAsia="Arial" w:ascii="Arial"/>
          <w:color w:val="000000"/>
          <w:spacing w:val="-1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heat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7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229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57" w:right="87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5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56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1301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5084-81B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20" w:bottom="280" w:left="58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