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C" w:rsidRPr="005D582C" w:rsidRDefault="005D582C" w:rsidP="005D582C">
      <w:pPr>
        <w:pStyle w:val="SCT"/>
        <w:jc w:val="center"/>
        <w:rPr>
          <w:rFonts w:ascii="Arial" w:hAnsi="Arial" w:cs="Arial"/>
          <w:b/>
          <w:sz w:val="27"/>
          <w:szCs w:val="27"/>
        </w:rPr>
      </w:pPr>
      <w:r w:rsidRPr="005D582C">
        <w:rPr>
          <w:rFonts w:ascii="Arial" w:hAnsi="Arial" w:cs="Arial"/>
          <w:b/>
          <w:sz w:val="27"/>
          <w:szCs w:val="27"/>
        </w:rPr>
        <w:t xml:space="preserve">Laars Heating Systems Company – </w:t>
      </w:r>
      <w:r w:rsidR="007609C2">
        <w:rPr>
          <w:rFonts w:ascii="Arial" w:hAnsi="Arial" w:cs="Arial"/>
          <w:b/>
          <w:sz w:val="27"/>
          <w:szCs w:val="27"/>
        </w:rPr>
        <w:t>Omni</w:t>
      </w:r>
      <w:r w:rsidRPr="005D582C">
        <w:rPr>
          <w:rFonts w:ascii="Arial" w:hAnsi="Arial" w:cs="Arial"/>
          <w:b/>
          <w:sz w:val="27"/>
          <w:szCs w:val="27"/>
        </w:rPr>
        <w:t xml:space="preserve">Therm </w:t>
      </w:r>
      <w:r w:rsidR="00C416FF">
        <w:rPr>
          <w:rFonts w:ascii="Arial" w:hAnsi="Arial" w:cs="Arial"/>
          <w:b/>
          <w:sz w:val="27"/>
          <w:szCs w:val="27"/>
        </w:rPr>
        <w:t xml:space="preserve">Models </w:t>
      </w:r>
      <w:r w:rsidR="007609C2">
        <w:rPr>
          <w:rFonts w:ascii="Arial" w:hAnsi="Arial" w:cs="Arial"/>
          <w:b/>
          <w:sz w:val="27"/>
          <w:szCs w:val="27"/>
        </w:rPr>
        <w:t>O</w:t>
      </w:r>
      <w:r w:rsidR="00284D63">
        <w:rPr>
          <w:rFonts w:ascii="Arial" w:hAnsi="Arial" w:cs="Arial"/>
          <w:b/>
          <w:sz w:val="27"/>
          <w:szCs w:val="27"/>
        </w:rPr>
        <w:t>C</w:t>
      </w:r>
      <w:r w:rsidRPr="005D582C">
        <w:rPr>
          <w:rFonts w:ascii="Arial" w:hAnsi="Arial" w:cs="Arial"/>
          <w:b/>
          <w:sz w:val="27"/>
          <w:szCs w:val="27"/>
        </w:rPr>
        <w:t>V 1</w:t>
      </w:r>
      <w:r w:rsidR="002D065F">
        <w:rPr>
          <w:rFonts w:ascii="Arial" w:hAnsi="Arial" w:cs="Arial"/>
          <w:b/>
          <w:sz w:val="27"/>
          <w:szCs w:val="27"/>
        </w:rPr>
        <w:t>25</w:t>
      </w:r>
      <w:r w:rsidRPr="005D582C">
        <w:rPr>
          <w:rFonts w:ascii="Arial" w:hAnsi="Arial" w:cs="Arial"/>
          <w:b/>
          <w:sz w:val="27"/>
          <w:szCs w:val="27"/>
        </w:rPr>
        <w:t>0</w:t>
      </w:r>
      <w:r w:rsidR="00C416FF">
        <w:rPr>
          <w:rFonts w:ascii="Arial" w:hAnsi="Arial" w:cs="Arial"/>
          <w:b/>
          <w:sz w:val="27"/>
          <w:szCs w:val="27"/>
        </w:rPr>
        <w:t>-3000</w:t>
      </w:r>
    </w:p>
    <w:p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>ommercial, water tube type, gas-fired, domestic-water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0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0"/>
      <w:r w:rsidRPr="00F02078">
        <w:rPr>
          <w:rFonts w:ascii="Arial" w:hAnsi="Arial" w:cs="Arial"/>
          <w:sz w:val="20"/>
        </w:rPr>
        <w:t>"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:rsidR="00E473C6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Due to Thermal Shock:  25 years.</w:t>
      </w:r>
    </w:p>
    <w:p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Ten years, </w:t>
      </w:r>
      <w:r w:rsidRPr="00F02078">
        <w:rPr>
          <w:rFonts w:ascii="Arial" w:hAnsi="Arial" w:cs="Arial"/>
          <w:sz w:val="20"/>
        </w:rPr>
        <w:t>with years 6 to 10 prorated.</w:t>
      </w:r>
    </w:p>
    <w:p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256543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shall be determined and listed by AHRI.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COMMERCIAL, WATER TUBE TYPE, GAS-FIRED, DOMESTIC-WATER HEATERS</w:t>
      </w:r>
    </w:p>
    <w:p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2D065F">
        <w:rPr>
          <w:rFonts w:ascii="Arial" w:hAnsi="Arial" w:cs="Arial"/>
          <w:sz w:val="20"/>
        </w:rPr>
        <w:t xml:space="preserve">OmniTherm Category </w:t>
      </w:r>
      <w:r w:rsidR="0043256E">
        <w:rPr>
          <w:rFonts w:ascii="Arial" w:hAnsi="Arial" w:cs="Arial"/>
          <w:sz w:val="20"/>
        </w:rPr>
        <w:t>II/IV</w:t>
      </w:r>
      <w:r w:rsidR="002D065F">
        <w:rPr>
          <w:rFonts w:ascii="Arial" w:hAnsi="Arial" w:cs="Arial"/>
          <w:sz w:val="20"/>
        </w:rPr>
        <w:t xml:space="preserve"> </w:t>
      </w:r>
      <w:r w:rsidR="00491786">
        <w:rPr>
          <w:rFonts w:ascii="Arial" w:hAnsi="Arial" w:cs="Arial"/>
          <w:sz w:val="20"/>
        </w:rPr>
        <w:t xml:space="preserve">model </w:t>
      </w:r>
      <w:r w:rsidR="002D065F">
        <w:rPr>
          <w:rFonts w:ascii="Arial" w:hAnsi="Arial" w:cs="Arial"/>
          <w:sz w:val="20"/>
        </w:rPr>
        <w:t>O</w:t>
      </w:r>
      <w:r w:rsidR="0043256E">
        <w:rPr>
          <w:rFonts w:ascii="Arial" w:hAnsi="Arial" w:cs="Arial"/>
          <w:sz w:val="20"/>
        </w:rPr>
        <w:t>C</w:t>
      </w:r>
      <w:r w:rsidR="002D065F">
        <w:rPr>
          <w:rFonts w:ascii="Arial" w:hAnsi="Arial" w:cs="Arial"/>
          <w:sz w:val="20"/>
        </w:rPr>
        <w:t>V</w:t>
      </w:r>
      <w:r w:rsidR="00C416FF">
        <w:rPr>
          <w:rFonts w:ascii="Arial" w:hAnsi="Arial" w:cs="Arial"/>
          <w:sz w:val="20"/>
        </w:rPr>
        <w:t xml:space="preserve"> </w:t>
      </w:r>
      <w:r w:rsidR="00F06098" w:rsidRPr="00F02078">
        <w:rPr>
          <w:rFonts w:ascii="Arial" w:hAnsi="Arial" w:cs="Arial"/>
          <w:sz w:val="20"/>
        </w:rPr>
        <w:t xml:space="preserve">with Laars Linc control, vertical-standing, water tube type, gas-fired, domestic-water heater,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RBI; A Division of Mestek,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Thermal Solutions LLC.</w:t>
      </w:r>
    </w:p>
    <w:p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Lochinvar, LLC.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Description: Packaged commercial, water tube type, gas-fired, domestic-water heater and controls.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heater, with HLW stamp.</w:t>
      </w:r>
    </w:p>
    <w:p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:rsidR="00DF6D72" w:rsidRPr="00DF6D72" w:rsidRDefault="00DF6D72" w:rsidP="00DF6D72">
      <w:pPr>
        <w:pStyle w:val="PR2"/>
      </w:pPr>
      <w:r>
        <w:rPr>
          <w:rFonts w:ascii="Arial" w:hAnsi="Arial" w:cs="Arial"/>
          <w:sz w:val="20"/>
        </w:rPr>
        <w:t>Heat Exchanger:</w:t>
      </w:r>
      <w:r w:rsidRPr="00DF6D72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Straight stainless steel finned tubes with stainless steel headers.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DF6D72">
        <w:rPr>
          <w:rFonts w:ascii="Arial" w:hAnsi="Arial" w:cs="Arial"/>
          <w:sz w:val="20"/>
        </w:rPr>
        <w:t xml:space="preserve">Combustion </w:t>
      </w:r>
      <w:r>
        <w:rPr>
          <w:rFonts w:ascii="Arial" w:hAnsi="Arial" w:cs="Arial"/>
          <w:sz w:val="20"/>
        </w:rPr>
        <w:t>C</w:t>
      </w:r>
      <w:r w:rsidRPr="00DF6D72">
        <w:rPr>
          <w:rFonts w:ascii="Arial" w:hAnsi="Arial" w:cs="Arial"/>
          <w:sz w:val="20"/>
        </w:rPr>
        <w:t>hamber</w:t>
      </w:r>
      <w:r>
        <w:rPr>
          <w:rFonts w:ascii="Arial" w:hAnsi="Arial" w:cs="Arial"/>
          <w:sz w:val="20"/>
        </w:rPr>
        <w:t>:  Stainless steel, sealed.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Burner:  </w:t>
      </w:r>
      <w:r w:rsidRPr="00F02078">
        <w:rPr>
          <w:rFonts w:ascii="Arial" w:hAnsi="Arial" w:cs="Arial"/>
          <w:sz w:val="20"/>
        </w:rPr>
        <w:t>Forced draft, drawing from gas premixing valve, for natural gas.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Blower:  Operates during burner-firing, prepurge, and postpurge of the combustion chamber.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84134D">
        <w:rPr>
          <w:rFonts w:ascii="Arial" w:hAnsi="Arial" w:cs="Arial"/>
          <w:sz w:val="20"/>
        </w:rPr>
        <w:t>Gas</w:t>
      </w:r>
      <w:r w:rsidR="0084134D" w:rsidRPr="0084134D">
        <w:rPr>
          <w:rFonts w:ascii="Arial" w:hAnsi="Arial" w:cs="Arial"/>
          <w:sz w:val="20"/>
        </w:rPr>
        <w:t xml:space="preserve"> Train:</w:t>
      </w:r>
      <w:r w:rsidRPr="0084134D">
        <w:rPr>
          <w:rFonts w:ascii="Arial" w:hAnsi="Arial" w:cs="Arial"/>
          <w:sz w:val="20"/>
        </w:rPr>
        <w:t xml:space="preserve">  </w:t>
      </w:r>
      <w:r w:rsidR="0084134D" w:rsidRPr="0084134D">
        <w:rPr>
          <w:rFonts w:ascii="Arial" w:hAnsi="Arial" w:cs="Arial"/>
          <w:sz w:val="20"/>
        </w:rPr>
        <w:t>Valve body combines gas shut off with fuel-air ratio controlled pressure regulator, combining air/gas control with fuel/air mixer to the heater.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Heater </w:t>
      </w:r>
      <w:r w:rsidRPr="00467F05">
        <w:rPr>
          <w:rFonts w:ascii="Arial" w:hAnsi="Arial" w:cs="Arial"/>
          <w:sz w:val="20"/>
        </w:rPr>
        <w:t>shall be designed to operate with natural gas supply pressure of 4-10.5” w.c..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Gas valve shall have a separate touchscreen display that allows valve parameters to be saved or loaded to the system memory from a USB device.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Information that can be saved shall be A/F curve, valve configuration data, and log files.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 xml:space="preserve">Valve touchscreen display shall allow for valve settings adjustment, configurations of optional components, and combustion setup of the </w:t>
      </w:r>
      <w:r>
        <w:rPr>
          <w:rFonts w:ascii="Arial" w:hAnsi="Arial" w:cs="Arial"/>
          <w:sz w:val="20"/>
        </w:rPr>
        <w:t>heater</w:t>
      </w:r>
      <w:r w:rsidRPr="00467F05">
        <w:rPr>
          <w:rFonts w:ascii="Arial" w:hAnsi="Arial" w:cs="Arial"/>
          <w:sz w:val="20"/>
        </w:rPr>
        <w:t>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Valve diagnostics available via the valve touchscreen shall include lockout history, active faults, and customizable trends in graph form.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Advanced gas valve setup shall be available for cases where customization of the valve characteristics would be beneficial to the job.</w:t>
      </w:r>
    </w:p>
    <w:p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Ignition:  ANSI Z21.10.3/CSA 4.3, direct spark ignition</w:t>
      </w:r>
      <w:r w:rsidRPr="00652D5C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with flame sensor that includes flame safety supervision and 100 percent main-valve shutoff.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Jacket: Sheet metal with powder coat, thermal set textured finish or stainless steel.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 and CSA certified for indoor or outdoor installations.</w:t>
      </w:r>
    </w:p>
    <w:p w:rsidR="0090054B" w:rsidRPr="00652D5C" w:rsidRDefault="0090054B" w:rsidP="00652D5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certified for category I</w:t>
      </w:r>
      <w:r w:rsidR="0043256E">
        <w:rPr>
          <w:rFonts w:ascii="Arial" w:hAnsi="Arial" w:cs="Arial"/>
          <w:sz w:val="20"/>
        </w:rPr>
        <w:t>I</w:t>
      </w:r>
      <w:r w:rsidRPr="00F02078">
        <w:rPr>
          <w:rFonts w:ascii="Arial" w:hAnsi="Arial" w:cs="Arial"/>
          <w:sz w:val="20"/>
        </w:rPr>
        <w:t xml:space="preserve"> and category I</w:t>
      </w:r>
      <w:r w:rsidR="0043256E">
        <w:rPr>
          <w:rFonts w:ascii="Arial" w:hAnsi="Arial" w:cs="Arial"/>
          <w:sz w:val="20"/>
        </w:rPr>
        <w:t>V</w:t>
      </w:r>
      <w:r w:rsidRPr="00F02078">
        <w:rPr>
          <w:rFonts w:ascii="Arial" w:hAnsi="Arial" w:cs="Arial"/>
          <w:sz w:val="20"/>
        </w:rPr>
        <w:t xml:space="preserve"> vent systems.</w:t>
      </w:r>
    </w:p>
    <w:p w:rsidR="0090054B" w:rsidRPr="00C416FF" w:rsidRDefault="00875E74" w:rsidP="00E727E9">
      <w:pPr>
        <w:pStyle w:val="PR2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 xml:space="preserve">Temperature Control:  </w:t>
      </w:r>
      <w:r w:rsidR="0090054B" w:rsidRPr="00C416FF">
        <w:rPr>
          <w:rFonts w:ascii="Arial" w:hAnsi="Arial" w:cs="Arial"/>
          <w:sz w:val="20"/>
        </w:rPr>
        <w:t>Includes the following:</w:t>
      </w:r>
    </w:p>
    <w:p w:rsidR="0090054B" w:rsidRPr="00C416FF" w:rsidRDefault="0090054B" w:rsidP="00E727E9">
      <w:pPr>
        <w:pStyle w:val="PR3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Large color touch screen user interface.</w:t>
      </w:r>
    </w:p>
    <w:p w:rsidR="00C416FF" w:rsidRPr="00C416FF" w:rsidRDefault="0043256E" w:rsidP="00E727E9">
      <w:pPr>
        <w:pStyle w:val="PR3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Modulat</w:t>
      </w:r>
      <w:r w:rsidR="00C416FF" w:rsidRPr="00C416FF">
        <w:rPr>
          <w:rFonts w:ascii="Arial" w:hAnsi="Arial" w:cs="Arial"/>
          <w:sz w:val="20"/>
        </w:rPr>
        <w:t>ion:</w:t>
      </w:r>
    </w:p>
    <w:p w:rsidR="0043256E" w:rsidRPr="00C416FF" w:rsidRDefault="00C416FF" w:rsidP="00C416FF">
      <w:pPr>
        <w:pStyle w:val="PR4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 xml:space="preserve">Model 1250: </w:t>
      </w:r>
      <w:r w:rsidR="0043256E" w:rsidRPr="00C416FF">
        <w:rPr>
          <w:rFonts w:ascii="Arial" w:hAnsi="Arial" w:cs="Arial"/>
          <w:sz w:val="20"/>
        </w:rPr>
        <w:t xml:space="preserve"> </w:t>
      </w:r>
      <w:r w:rsidRPr="00C416FF">
        <w:rPr>
          <w:rFonts w:ascii="Arial" w:hAnsi="Arial" w:cs="Arial"/>
          <w:sz w:val="20"/>
        </w:rPr>
        <w:t xml:space="preserve">to </w:t>
      </w:r>
      <w:r w:rsidR="0043256E" w:rsidRPr="00C416FF">
        <w:rPr>
          <w:rFonts w:ascii="Arial" w:hAnsi="Arial" w:cs="Arial"/>
          <w:sz w:val="20"/>
        </w:rPr>
        <w:t>20</w:t>
      </w:r>
      <w:r w:rsidRPr="00C416FF">
        <w:rPr>
          <w:rFonts w:ascii="Arial" w:hAnsi="Arial" w:cs="Arial"/>
          <w:sz w:val="20"/>
        </w:rPr>
        <w:t xml:space="preserve">% </w:t>
      </w:r>
      <w:r w:rsidR="0043256E" w:rsidRPr="00C416FF">
        <w:rPr>
          <w:rFonts w:ascii="Arial" w:hAnsi="Arial" w:cs="Arial"/>
          <w:sz w:val="20"/>
        </w:rPr>
        <w:t xml:space="preserve">of full fire </w:t>
      </w:r>
      <w:r w:rsidRPr="00C416FF">
        <w:rPr>
          <w:rFonts w:ascii="Arial" w:hAnsi="Arial" w:cs="Arial"/>
          <w:sz w:val="20"/>
        </w:rPr>
        <w:t xml:space="preserve">or less, for at least a </w:t>
      </w:r>
      <w:r w:rsidR="0043256E" w:rsidRPr="00C416FF">
        <w:rPr>
          <w:rFonts w:ascii="Arial" w:hAnsi="Arial" w:cs="Arial"/>
          <w:sz w:val="20"/>
        </w:rPr>
        <w:t>5:1 turndown</w:t>
      </w:r>
      <w:r w:rsidRPr="00C416FF">
        <w:rPr>
          <w:rFonts w:ascii="Arial" w:hAnsi="Arial" w:cs="Arial"/>
          <w:sz w:val="20"/>
        </w:rPr>
        <w:t xml:space="preserve"> ratio</w:t>
      </w:r>
      <w:r w:rsidR="0043256E" w:rsidRPr="00C416FF">
        <w:rPr>
          <w:rFonts w:ascii="Arial" w:hAnsi="Arial" w:cs="Arial"/>
          <w:sz w:val="20"/>
        </w:rPr>
        <w:t>.</w:t>
      </w:r>
    </w:p>
    <w:p w:rsidR="00C416FF" w:rsidRPr="00C416FF" w:rsidRDefault="00C416FF" w:rsidP="00C416FF">
      <w:pPr>
        <w:pStyle w:val="PR4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Model 1500:  to 14% of full fire or less, for at least a 7:1 turndown ratio.</w:t>
      </w:r>
    </w:p>
    <w:p w:rsidR="00C416FF" w:rsidRPr="00C416FF" w:rsidRDefault="00C416FF" w:rsidP="00C416FF">
      <w:pPr>
        <w:pStyle w:val="PR4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Model 1750:  to 14% of full fire or less, for at least a 7:1 turndown ratio.</w:t>
      </w:r>
    </w:p>
    <w:p w:rsidR="00C416FF" w:rsidRPr="00C416FF" w:rsidRDefault="00C416FF" w:rsidP="00C416FF">
      <w:pPr>
        <w:pStyle w:val="PR4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Model 2000:  to 20% of full fire or less, for at least a 5:1 turndown ratio.</w:t>
      </w:r>
    </w:p>
    <w:p w:rsidR="00C416FF" w:rsidRPr="00C416FF" w:rsidRDefault="00C416FF" w:rsidP="00C416FF">
      <w:pPr>
        <w:pStyle w:val="PR4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Model 2500:  to 14% of full fire or less, for at least a 7:1 turndown ratio.</w:t>
      </w:r>
    </w:p>
    <w:p w:rsidR="00C416FF" w:rsidRPr="00C416FF" w:rsidRDefault="00C416FF" w:rsidP="00C416FF">
      <w:pPr>
        <w:pStyle w:val="PR4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Model 3000:  to 14% of full fire or less, for at least a 7:1 turndown ratio.</w:t>
      </w:r>
    </w:p>
    <w:p w:rsidR="0090054B" w:rsidRPr="00C416FF" w:rsidRDefault="0090054B" w:rsidP="00E727E9">
      <w:pPr>
        <w:pStyle w:val="PR3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Quick start mode to access the most common parameters.</w:t>
      </w:r>
    </w:p>
    <w:p w:rsidR="0090054B" w:rsidRPr="00C416FF" w:rsidRDefault="0090054B" w:rsidP="00E727E9">
      <w:pPr>
        <w:pStyle w:val="PR3"/>
        <w:rPr>
          <w:rFonts w:ascii="Arial" w:hAnsi="Arial" w:cs="Arial"/>
          <w:sz w:val="20"/>
        </w:rPr>
      </w:pPr>
      <w:r w:rsidRPr="00C416FF">
        <w:rPr>
          <w:rFonts w:ascii="Arial" w:hAnsi="Arial" w:cs="Arial"/>
          <w:sz w:val="20"/>
        </w:rPr>
        <w:t>Screen settings timeout, allowing user to choose the amount of time the touch screen backlight remains lit, and/or the touch screen remains unlocked, after user interaction has ceased.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Allows access to history of heater operations, demand cycles, burner cycles, pump cycles, 10 most recent lockout conditions, unit temperatures and firing statistics.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Factory reset to default settings.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Restart and recalibrate/realign the display.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USB connection that allows the user to upload and download heater parameters, to copy parameters from one heater to another, or to document parameters in a tab deliminated text file.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transformer.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Maximum vent temperature cutoff.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Adjustable set points: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set point and offset.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manual and automatic high limits.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Deg F or deg C display.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setpoint, rotation, and redundancy.</w:t>
      </w:r>
    </w:p>
    <w:p w:rsidR="0090054B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PID gain parameters.</w:t>
      </w:r>
    </w:p>
    <w:p w:rsidR="0043256E" w:rsidRPr="00F02078" w:rsidRDefault="0043256E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 firing rate control (</w:t>
      </w:r>
      <w:r w:rsidR="005705AD">
        <w:rPr>
          <w:rFonts w:ascii="Arial" w:hAnsi="Arial" w:cs="Arial"/>
          <w:sz w:val="20"/>
        </w:rPr>
        <w:t>forced</w:t>
      </w:r>
      <w:r>
        <w:rPr>
          <w:rFonts w:ascii="Arial" w:hAnsi="Arial" w:cs="Arial"/>
          <w:sz w:val="20"/>
        </w:rPr>
        <w:t xml:space="preserve"> min or max firing rate).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exercise mode.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time delay.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Anti-short cycle.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Anti-frost parameters.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Dry alarm contacts for ignition failure.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control for heater pump, with delay.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Spark to pilot ignition.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24-V ac control circuit.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Accepts 4-20 mA or 0-10 V dc modulation signal from external control or building automation system, for user-selectable set point or firing rate control.</w:t>
      </w:r>
    </w:p>
    <w:p w:rsidR="0090054B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and lead-lag up to 8 heaters without additional controllers.</w:t>
      </w:r>
    </w:p>
    <w:p w:rsidR="0043256E" w:rsidRPr="0043256E" w:rsidRDefault="0043256E" w:rsidP="00E727E9">
      <w:pPr>
        <w:pStyle w:val="PR3"/>
        <w:rPr>
          <w:rFonts w:ascii="Arial" w:hAnsi="Arial" w:cs="Arial"/>
          <w:sz w:val="20"/>
        </w:rPr>
      </w:pPr>
      <w:r w:rsidRPr="0043256E">
        <w:rPr>
          <w:rFonts w:ascii="Arial" w:hAnsi="Arial" w:cs="Arial"/>
          <w:sz w:val="20"/>
        </w:rPr>
        <w:t>Selectable firing sequence methods:</w:t>
      </w:r>
    </w:p>
    <w:p w:rsidR="0043256E" w:rsidRPr="0043256E" w:rsidRDefault="0043256E" w:rsidP="0043256E">
      <w:pPr>
        <w:pStyle w:val="PR4"/>
        <w:rPr>
          <w:rFonts w:ascii="Arial" w:hAnsi="Arial" w:cs="Arial"/>
          <w:sz w:val="20"/>
        </w:rPr>
      </w:pPr>
      <w:r w:rsidRPr="0043256E">
        <w:rPr>
          <w:rFonts w:ascii="Arial" w:hAnsi="Arial" w:cs="Arial"/>
          <w:sz w:val="20"/>
        </w:rPr>
        <w:t>Keep each heater at lowest firing rate and modulate together to maximize efficiency.</w:t>
      </w:r>
    </w:p>
    <w:p w:rsidR="0043256E" w:rsidRPr="0043256E" w:rsidRDefault="0043256E" w:rsidP="0043256E">
      <w:pPr>
        <w:pStyle w:val="PR4"/>
        <w:rPr>
          <w:rFonts w:ascii="Arial" w:hAnsi="Arial" w:cs="Arial"/>
          <w:sz w:val="20"/>
        </w:rPr>
      </w:pPr>
      <w:r w:rsidRPr="0043256E">
        <w:rPr>
          <w:rFonts w:ascii="Arial" w:hAnsi="Arial" w:cs="Arial"/>
          <w:sz w:val="20"/>
        </w:rPr>
        <w:t>Automatic, alternating-firing sequence for multiple heaters to provide equal run time per heater.</w:t>
      </w:r>
    </w:p>
    <w:p w:rsidR="0090054B" w:rsidRPr="0043256E" w:rsidRDefault="0090054B" w:rsidP="00E727E9">
      <w:pPr>
        <w:pStyle w:val="PR3"/>
        <w:rPr>
          <w:rFonts w:ascii="Arial" w:hAnsi="Arial" w:cs="Arial"/>
          <w:sz w:val="20"/>
        </w:rPr>
      </w:pPr>
      <w:r w:rsidRPr="0043256E">
        <w:rPr>
          <w:rFonts w:ascii="Arial" w:hAnsi="Arial" w:cs="Arial"/>
          <w:sz w:val="20"/>
        </w:rPr>
        <w:t>Heater display homescreen shall show:</w:t>
      </w:r>
    </w:p>
    <w:p w:rsidR="0090054B" w:rsidRPr="0043256E" w:rsidRDefault="0090054B" w:rsidP="00E727E9">
      <w:pPr>
        <w:pStyle w:val="PR4"/>
        <w:rPr>
          <w:rFonts w:ascii="Arial" w:hAnsi="Arial" w:cs="Arial"/>
          <w:sz w:val="20"/>
        </w:rPr>
      </w:pPr>
      <w:r w:rsidRPr="0043256E">
        <w:rPr>
          <w:rFonts w:ascii="Arial" w:hAnsi="Arial" w:cs="Arial"/>
          <w:sz w:val="20"/>
        </w:rPr>
        <w:t>Intuitive, icon-based menu system.</w:t>
      </w:r>
    </w:p>
    <w:p w:rsidR="0090054B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Visual display of real-time heater status that includes inlet &amp; outlet temperatures, heat temperature rise, flue gas temperature, and firing rate.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Time and date.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Set points.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status.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Active demands.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Lockouts and alerts.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Message system.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Quick start, configure, and service menu shortcuts.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Three levels of password protection: user level, installer level, and OEM level.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shall have BACnet MSTP and Modbus RTU on board, standard.  Optional gateways for BACnet IP and LonWorks shall be available from the heater manufacturer.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Building automation systems shall be able to read: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Inlet water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Outlet water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Flue gas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Flame signal.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input for BAS.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input for fan speed.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output for pump.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output for fan speed.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Safety chain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Non-safety chain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Demand source.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Digital output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Gas valve status.</w:t>
      </w:r>
    </w:p>
    <w:p w:rsidR="0090054B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Pilot valve status.</w:t>
      </w:r>
    </w:p>
    <w:p w:rsidR="0043256E" w:rsidRDefault="0043256E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Fan speed modulation.</w:t>
      </w:r>
    </w:p>
    <w:p w:rsidR="0043256E" w:rsidRPr="00F02078" w:rsidRDefault="0043256E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Burner modulation.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All lockout codes.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All error codes.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demand cycles.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pump cycles.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average, maximum, and minimum heater outlet temperature.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average, maximum, and minimum firing time.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Cascade </w:t>
      </w:r>
      <w:r w:rsidR="0043256E">
        <w:rPr>
          <w:rFonts w:ascii="Arial" w:hAnsi="Arial" w:cs="Arial"/>
          <w:sz w:val="20"/>
        </w:rPr>
        <w:t xml:space="preserve">firing rates and </w:t>
      </w:r>
      <w:r w:rsidRPr="00F02078">
        <w:rPr>
          <w:rFonts w:ascii="Arial" w:hAnsi="Arial" w:cs="Arial"/>
          <w:sz w:val="20"/>
        </w:rPr>
        <w:t>heater states.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Active set point.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Burner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Burner run time.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Building automation systems shall be able to read and write: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demand.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set point.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P, I, and D parameters.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digital inputs: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Flow switch.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Low water cutoff.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reset high limit.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Thermal cutout.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High gas pressure switch.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Low gas pressure switch.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Additional high limit.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Condensate level.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Spare (for user-supplied item).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digital outputs: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Run.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Safety satisfied.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pump.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Auxiliary power output.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Auxiliary dry contact.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analog inputs: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Inlet water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Outlet water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Flue gas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Flame signal.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DMS voltage/current.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analog outputs: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speed percent.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Fan speed percent.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Mixing valve percent.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Auxiliary percent.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shall have a clock with battery backup.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 control shall differentiate between a lockout, a hold, or an alert. If an issue occurs, the system will display a message icon on the control screen. The user shall be able to tap the icon to be presented with a more detailed explanation of the issue.</w:t>
      </w:r>
    </w:p>
    <w:p w:rsidR="0090054B" w:rsidRPr="00F02078" w:rsidRDefault="0090054B" w:rsidP="006C6BC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 flow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relief valve: </w:t>
      </w:r>
      <w:r w:rsidRPr="00F02078">
        <w:rPr>
          <w:rStyle w:val="IP"/>
          <w:rFonts w:ascii="Arial" w:hAnsi="Arial" w:cs="Arial"/>
          <w:color w:val="auto"/>
          <w:sz w:val="20"/>
        </w:rPr>
        <w:t>125 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and Temperature Gage: Minimum </w:t>
      </w:r>
      <w:r w:rsidRPr="00F02078">
        <w:rPr>
          <w:rStyle w:val="IP"/>
          <w:rFonts w:ascii="Arial" w:hAnsi="Arial" w:cs="Arial"/>
          <w:color w:val="auto"/>
          <w:sz w:val="20"/>
        </w:rPr>
        <w:t>3-1/2-inch-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F0207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reset high limit.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Automatic reset high limit.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Low water cutoff with manual reset and test.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Built-in condensate trap.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On/off toggle switch, lighted.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Air filter.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Heater Mounted: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CSD-1.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Additional auto and manual reset high limits.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 bell with silence switch.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Alternate relief valves.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BACnet IP / Modbus TCP/IP gateway.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Lonworks gateway.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Waterway flange kit.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Field Installed:</w:t>
      </w:r>
    </w:p>
    <w:p w:rsidR="0090054B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BACnet IP / Modbus TCP/IP gateway.</w:t>
      </w:r>
    </w:p>
    <w:p w:rsidR="0090054B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Lonworks gateway.</w:t>
      </w:r>
    </w:p>
    <w:p w:rsidR="0090054B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High and low gas pressure switches with manual reset.</w:t>
      </w:r>
    </w:p>
    <w:p w:rsidR="0090054B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Condensate neutralizer kit.</w:t>
      </w:r>
    </w:p>
    <w:p w:rsidR="0090054B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Condensate pump.</w:t>
      </w:r>
    </w:p>
    <w:p w:rsidR="0090054B" w:rsidRPr="00042B88" w:rsidRDefault="0090054B" w:rsidP="006D3551">
      <w:pPr>
        <w:pStyle w:val="PR1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Support: Steel base or skids.</w:t>
      </w:r>
    </w:p>
    <w:p w:rsidR="0090054B" w:rsidRPr="00042B88" w:rsidRDefault="0090054B" w:rsidP="006D3551">
      <w:pPr>
        <w:pStyle w:val="PR1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Capacity and Characteristics:</w:t>
      </w:r>
    </w:p>
    <w:p w:rsidR="00D166AC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Recovery:</w:t>
      </w:r>
    </w:p>
    <w:p w:rsidR="0090054B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1250:  </w:t>
      </w:r>
      <w:r w:rsidR="0090054B" w:rsidRPr="00042B88">
        <w:rPr>
          <w:rFonts w:ascii="Arial" w:hAnsi="Arial" w:cs="Arial"/>
          <w:sz w:val="20"/>
        </w:rPr>
        <w:t>1,</w:t>
      </w:r>
      <w:r w:rsidR="0043256E" w:rsidRPr="00042B88">
        <w:rPr>
          <w:rFonts w:ascii="Arial" w:hAnsi="Arial" w:cs="Arial"/>
          <w:sz w:val="20"/>
        </w:rPr>
        <w:t>317</w:t>
      </w:r>
      <w:r w:rsidR="0090054B" w:rsidRPr="00042B88">
        <w:rPr>
          <w:rFonts w:ascii="Arial" w:hAnsi="Arial" w:cs="Arial"/>
          <w:sz w:val="20"/>
        </w:rPr>
        <w:t xml:space="preserve"> gph (1.</w:t>
      </w:r>
      <w:r w:rsidR="0043256E" w:rsidRPr="00042B88">
        <w:rPr>
          <w:rFonts w:ascii="Arial" w:hAnsi="Arial" w:cs="Arial"/>
          <w:sz w:val="20"/>
        </w:rPr>
        <w:t>4</w:t>
      </w:r>
      <w:r w:rsidR="0090054B" w:rsidRPr="00042B88">
        <w:rPr>
          <w:rFonts w:ascii="Arial" w:hAnsi="Arial" w:cs="Arial"/>
          <w:sz w:val="20"/>
        </w:rPr>
        <w:t xml:space="preserve"> L/s)</w:t>
      </w:r>
      <w:r w:rsidR="00F82141" w:rsidRPr="00042B88">
        <w:rPr>
          <w:rFonts w:ascii="Arial" w:hAnsi="Arial" w:cs="Arial"/>
          <w:sz w:val="20"/>
        </w:rPr>
        <w:t xml:space="preserve"> at 100°F (56°C) </w:t>
      </w:r>
      <w:r w:rsidR="0090054B" w:rsidRPr="00042B88">
        <w:rPr>
          <w:rFonts w:ascii="Arial" w:hAnsi="Arial" w:cs="Arial"/>
          <w:sz w:val="20"/>
        </w:rPr>
        <w:t>temperature rise.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1500</w:t>
      </w:r>
      <w:r w:rsidRPr="00042B88">
        <w:rPr>
          <w:rFonts w:ascii="Arial" w:hAnsi="Arial" w:cs="Arial"/>
          <w:sz w:val="20"/>
        </w:rPr>
        <w:t xml:space="preserve">:  </w:t>
      </w:r>
      <w:r w:rsidR="00042B88" w:rsidRPr="00042B88">
        <w:rPr>
          <w:rFonts w:ascii="Arial" w:hAnsi="Arial" w:cs="Arial"/>
          <w:sz w:val="20"/>
        </w:rPr>
        <w:t>1,586</w:t>
      </w:r>
      <w:r w:rsidRPr="00042B88">
        <w:rPr>
          <w:rFonts w:ascii="Arial" w:hAnsi="Arial" w:cs="Arial"/>
          <w:sz w:val="20"/>
        </w:rPr>
        <w:t xml:space="preserve"> gph (1.</w:t>
      </w:r>
      <w:r w:rsidR="00042B88" w:rsidRPr="00042B88">
        <w:rPr>
          <w:rFonts w:ascii="Arial" w:hAnsi="Arial" w:cs="Arial"/>
          <w:sz w:val="20"/>
        </w:rPr>
        <w:t>6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1750</w:t>
      </w:r>
      <w:r w:rsidRPr="00042B88">
        <w:rPr>
          <w:rFonts w:ascii="Arial" w:hAnsi="Arial" w:cs="Arial"/>
          <w:sz w:val="20"/>
        </w:rPr>
        <w:t>:  1,</w:t>
      </w:r>
      <w:r w:rsidR="00042B88" w:rsidRPr="00042B88">
        <w:rPr>
          <w:rFonts w:ascii="Arial" w:hAnsi="Arial" w:cs="Arial"/>
          <w:sz w:val="20"/>
        </w:rPr>
        <w:t>827</w:t>
      </w:r>
      <w:r w:rsidRPr="00042B88">
        <w:rPr>
          <w:rFonts w:ascii="Arial" w:hAnsi="Arial" w:cs="Arial"/>
          <w:sz w:val="20"/>
        </w:rPr>
        <w:t xml:space="preserve"> gph (1.</w:t>
      </w:r>
      <w:r w:rsidR="00042B88" w:rsidRPr="00042B88">
        <w:rPr>
          <w:rFonts w:ascii="Arial" w:hAnsi="Arial" w:cs="Arial"/>
          <w:sz w:val="20"/>
        </w:rPr>
        <w:t>9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2000</w:t>
      </w:r>
      <w:r w:rsidRPr="00042B88">
        <w:rPr>
          <w:rFonts w:ascii="Arial" w:hAnsi="Arial" w:cs="Arial"/>
          <w:sz w:val="20"/>
        </w:rPr>
        <w:t xml:space="preserve">:  </w:t>
      </w:r>
      <w:r w:rsidR="00042B88" w:rsidRPr="00042B88">
        <w:rPr>
          <w:rFonts w:ascii="Arial" w:hAnsi="Arial" w:cs="Arial"/>
          <w:sz w:val="20"/>
        </w:rPr>
        <w:t>2</w:t>
      </w:r>
      <w:r w:rsidRPr="00042B88">
        <w:rPr>
          <w:rFonts w:ascii="Arial" w:hAnsi="Arial" w:cs="Arial"/>
          <w:sz w:val="20"/>
        </w:rPr>
        <w:t>,</w:t>
      </w:r>
      <w:r w:rsidR="00042B88" w:rsidRPr="00042B88">
        <w:rPr>
          <w:rFonts w:ascii="Arial" w:hAnsi="Arial" w:cs="Arial"/>
          <w:sz w:val="20"/>
        </w:rPr>
        <w:t>10</w:t>
      </w:r>
      <w:r w:rsidRPr="00042B88">
        <w:rPr>
          <w:rFonts w:ascii="Arial" w:hAnsi="Arial" w:cs="Arial"/>
          <w:sz w:val="20"/>
        </w:rPr>
        <w:t>7 gph (</w:t>
      </w:r>
      <w:r w:rsidR="00042B88" w:rsidRPr="00042B88">
        <w:rPr>
          <w:rFonts w:ascii="Arial" w:hAnsi="Arial" w:cs="Arial"/>
          <w:sz w:val="20"/>
        </w:rPr>
        <w:t>2.2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2500</w:t>
      </w:r>
      <w:r w:rsidRPr="00042B88">
        <w:rPr>
          <w:rFonts w:ascii="Arial" w:hAnsi="Arial" w:cs="Arial"/>
          <w:sz w:val="20"/>
        </w:rPr>
        <w:t xml:space="preserve">:  </w:t>
      </w:r>
      <w:r w:rsidR="00042B88" w:rsidRPr="00042B88">
        <w:rPr>
          <w:rFonts w:ascii="Arial" w:hAnsi="Arial" w:cs="Arial"/>
          <w:sz w:val="20"/>
        </w:rPr>
        <w:t>2</w:t>
      </w:r>
      <w:r w:rsidRPr="00042B88">
        <w:rPr>
          <w:rFonts w:ascii="Arial" w:hAnsi="Arial" w:cs="Arial"/>
          <w:sz w:val="20"/>
        </w:rPr>
        <w:t>,</w:t>
      </w:r>
      <w:r w:rsidR="00042B88" w:rsidRPr="00042B88">
        <w:rPr>
          <w:rFonts w:ascii="Arial" w:hAnsi="Arial" w:cs="Arial"/>
          <w:sz w:val="20"/>
        </w:rPr>
        <w:t>631</w:t>
      </w:r>
      <w:r w:rsidRPr="00042B88">
        <w:rPr>
          <w:rFonts w:ascii="Arial" w:hAnsi="Arial" w:cs="Arial"/>
          <w:sz w:val="20"/>
        </w:rPr>
        <w:t xml:space="preserve"> gph (</w:t>
      </w:r>
      <w:r w:rsidR="00042B88" w:rsidRPr="00042B88">
        <w:rPr>
          <w:rFonts w:ascii="Arial" w:hAnsi="Arial" w:cs="Arial"/>
          <w:sz w:val="20"/>
        </w:rPr>
        <w:t>2.8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3000</w:t>
      </w:r>
      <w:r w:rsidRPr="00042B88">
        <w:rPr>
          <w:rFonts w:ascii="Arial" w:hAnsi="Arial" w:cs="Arial"/>
          <w:sz w:val="20"/>
        </w:rPr>
        <w:t xml:space="preserve">:  </w:t>
      </w:r>
      <w:r w:rsidR="00381581" w:rsidRPr="00042B88">
        <w:rPr>
          <w:rFonts w:ascii="Arial" w:hAnsi="Arial" w:cs="Arial"/>
          <w:sz w:val="20"/>
        </w:rPr>
        <w:t>3,107</w:t>
      </w:r>
      <w:r w:rsidRPr="00042B88">
        <w:rPr>
          <w:rFonts w:ascii="Arial" w:hAnsi="Arial" w:cs="Arial"/>
          <w:sz w:val="20"/>
        </w:rPr>
        <w:t xml:space="preserve"> gph (</w:t>
      </w:r>
      <w:r w:rsidR="00381581" w:rsidRPr="00042B88">
        <w:rPr>
          <w:rFonts w:ascii="Arial" w:hAnsi="Arial" w:cs="Arial"/>
          <w:sz w:val="20"/>
        </w:rPr>
        <w:t>3.3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D166AC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Fuel Gas Input:</w:t>
      </w:r>
    </w:p>
    <w:p w:rsidR="0090054B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1250:  </w:t>
      </w:r>
      <w:r w:rsidR="0090054B" w:rsidRPr="00042B88">
        <w:rPr>
          <w:rFonts w:ascii="Arial" w:hAnsi="Arial" w:cs="Arial"/>
          <w:sz w:val="20"/>
        </w:rPr>
        <w:t>1,</w:t>
      </w:r>
      <w:r w:rsidR="0084134D" w:rsidRPr="00042B88">
        <w:rPr>
          <w:rFonts w:ascii="Arial" w:hAnsi="Arial" w:cs="Arial"/>
          <w:sz w:val="20"/>
        </w:rPr>
        <w:t>25</w:t>
      </w:r>
      <w:r w:rsidR="0090054B" w:rsidRPr="00042B88">
        <w:rPr>
          <w:rFonts w:ascii="Arial" w:hAnsi="Arial" w:cs="Arial"/>
          <w:sz w:val="20"/>
        </w:rPr>
        <w:t>0 Mbh (</w:t>
      </w:r>
      <w:r w:rsidR="0084134D" w:rsidRPr="00042B88">
        <w:rPr>
          <w:rFonts w:ascii="Arial" w:hAnsi="Arial" w:cs="Arial"/>
          <w:sz w:val="20"/>
        </w:rPr>
        <w:t>366</w:t>
      </w:r>
      <w:r w:rsidR="0090054B" w:rsidRPr="00042B88">
        <w:rPr>
          <w:rFonts w:ascii="Arial" w:hAnsi="Arial" w:cs="Arial"/>
          <w:sz w:val="20"/>
        </w:rPr>
        <w:t xml:space="preserve"> kW)</w:t>
      </w:r>
      <w:r w:rsidRPr="00042B88">
        <w:rPr>
          <w:rFonts w:ascii="Arial" w:hAnsi="Arial" w:cs="Arial"/>
          <w:sz w:val="20"/>
        </w:rPr>
        <w:t>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1500</w:t>
      </w:r>
      <w:r w:rsidRPr="00042B88">
        <w:rPr>
          <w:rFonts w:ascii="Arial" w:hAnsi="Arial" w:cs="Arial"/>
          <w:sz w:val="20"/>
        </w:rPr>
        <w:t>:  1,</w:t>
      </w:r>
      <w:r w:rsidR="00042B88" w:rsidRPr="00042B88">
        <w:rPr>
          <w:rFonts w:ascii="Arial" w:hAnsi="Arial" w:cs="Arial"/>
          <w:sz w:val="20"/>
        </w:rPr>
        <w:t>50</w:t>
      </w:r>
      <w:r w:rsidRPr="00042B88">
        <w:rPr>
          <w:rFonts w:ascii="Arial" w:hAnsi="Arial" w:cs="Arial"/>
          <w:sz w:val="20"/>
        </w:rPr>
        <w:t>0 Mbh (</w:t>
      </w:r>
      <w:r w:rsidR="00042B88" w:rsidRPr="00042B88">
        <w:rPr>
          <w:rFonts w:ascii="Arial" w:hAnsi="Arial" w:cs="Arial"/>
          <w:sz w:val="20"/>
        </w:rPr>
        <w:t>440</w:t>
      </w:r>
      <w:r w:rsidRPr="00042B88">
        <w:rPr>
          <w:rFonts w:ascii="Arial" w:hAnsi="Arial" w:cs="Arial"/>
          <w:sz w:val="20"/>
        </w:rPr>
        <w:t xml:space="preserve"> kW).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1750</w:t>
      </w:r>
      <w:r w:rsidRPr="00042B88">
        <w:rPr>
          <w:rFonts w:ascii="Arial" w:hAnsi="Arial" w:cs="Arial"/>
          <w:sz w:val="20"/>
        </w:rPr>
        <w:t>:  1,</w:t>
      </w:r>
      <w:r w:rsidR="00042B88" w:rsidRPr="00042B88">
        <w:rPr>
          <w:rFonts w:ascii="Arial" w:hAnsi="Arial" w:cs="Arial"/>
          <w:sz w:val="20"/>
        </w:rPr>
        <w:t>7</w:t>
      </w:r>
      <w:r w:rsidRPr="00042B88">
        <w:rPr>
          <w:rFonts w:ascii="Arial" w:hAnsi="Arial" w:cs="Arial"/>
          <w:sz w:val="20"/>
        </w:rPr>
        <w:t>50 Mbh (</w:t>
      </w:r>
      <w:r w:rsidR="00042B88" w:rsidRPr="00042B88">
        <w:rPr>
          <w:rFonts w:ascii="Arial" w:hAnsi="Arial" w:cs="Arial"/>
          <w:sz w:val="20"/>
        </w:rPr>
        <w:t>513</w:t>
      </w:r>
      <w:r w:rsidRPr="00042B88">
        <w:rPr>
          <w:rFonts w:ascii="Arial" w:hAnsi="Arial" w:cs="Arial"/>
          <w:sz w:val="20"/>
        </w:rPr>
        <w:t xml:space="preserve"> kW).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2000</w:t>
      </w:r>
      <w:r w:rsidRPr="00042B88">
        <w:rPr>
          <w:rFonts w:ascii="Arial" w:hAnsi="Arial" w:cs="Arial"/>
          <w:sz w:val="20"/>
        </w:rPr>
        <w:t>:  1,</w:t>
      </w:r>
      <w:r w:rsidR="00042B88" w:rsidRPr="00042B88">
        <w:rPr>
          <w:rFonts w:ascii="Arial" w:hAnsi="Arial" w:cs="Arial"/>
          <w:sz w:val="20"/>
        </w:rPr>
        <w:t>999.9</w:t>
      </w:r>
      <w:r w:rsidRPr="00042B88">
        <w:rPr>
          <w:rFonts w:ascii="Arial" w:hAnsi="Arial" w:cs="Arial"/>
          <w:sz w:val="20"/>
        </w:rPr>
        <w:t xml:space="preserve"> Mbh (</w:t>
      </w:r>
      <w:r w:rsidR="00042B88" w:rsidRPr="00042B88">
        <w:rPr>
          <w:rFonts w:ascii="Arial" w:hAnsi="Arial" w:cs="Arial"/>
          <w:sz w:val="20"/>
        </w:rPr>
        <w:t>58</w:t>
      </w:r>
      <w:r w:rsidRPr="00042B88">
        <w:rPr>
          <w:rFonts w:ascii="Arial" w:hAnsi="Arial" w:cs="Arial"/>
          <w:sz w:val="20"/>
        </w:rPr>
        <w:t>6 kW).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2500</w:t>
      </w:r>
      <w:r w:rsidRPr="00042B88">
        <w:rPr>
          <w:rFonts w:ascii="Arial" w:hAnsi="Arial" w:cs="Arial"/>
          <w:sz w:val="20"/>
        </w:rPr>
        <w:t xml:space="preserve">:  </w:t>
      </w:r>
      <w:r w:rsidR="00042B88" w:rsidRPr="00042B88">
        <w:rPr>
          <w:rFonts w:ascii="Arial" w:hAnsi="Arial" w:cs="Arial"/>
          <w:sz w:val="20"/>
        </w:rPr>
        <w:t>2</w:t>
      </w:r>
      <w:r w:rsidRPr="00042B88">
        <w:rPr>
          <w:rFonts w:ascii="Arial" w:hAnsi="Arial" w:cs="Arial"/>
          <w:sz w:val="20"/>
        </w:rPr>
        <w:t>,</w:t>
      </w:r>
      <w:r w:rsidR="00042B88" w:rsidRPr="00042B88">
        <w:rPr>
          <w:rFonts w:ascii="Arial" w:hAnsi="Arial" w:cs="Arial"/>
          <w:sz w:val="20"/>
        </w:rPr>
        <w:t>499.9</w:t>
      </w:r>
      <w:r w:rsidRPr="00042B88">
        <w:rPr>
          <w:rFonts w:ascii="Arial" w:hAnsi="Arial" w:cs="Arial"/>
          <w:sz w:val="20"/>
        </w:rPr>
        <w:t xml:space="preserve"> Mbh (</w:t>
      </w:r>
      <w:r w:rsidR="00042B88" w:rsidRPr="00042B88">
        <w:rPr>
          <w:rFonts w:ascii="Arial" w:hAnsi="Arial" w:cs="Arial"/>
          <w:sz w:val="20"/>
        </w:rPr>
        <w:t>733</w:t>
      </w:r>
      <w:r w:rsidRPr="00042B88">
        <w:rPr>
          <w:rFonts w:ascii="Arial" w:hAnsi="Arial" w:cs="Arial"/>
          <w:sz w:val="20"/>
        </w:rPr>
        <w:t xml:space="preserve"> kW).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3000</w:t>
      </w:r>
      <w:r w:rsidRPr="00042B88">
        <w:rPr>
          <w:rFonts w:ascii="Arial" w:hAnsi="Arial" w:cs="Arial"/>
          <w:sz w:val="20"/>
        </w:rPr>
        <w:t xml:space="preserve">:  </w:t>
      </w:r>
      <w:r w:rsidR="00381581" w:rsidRPr="00042B88">
        <w:rPr>
          <w:rFonts w:ascii="Arial" w:hAnsi="Arial" w:cs="Arial"/>
          <w:sz w:val="20"/>
        </w:rPr>
        <w:t>3</w:t>
      </w:r>
      <w:r w:rsidRPr="00042B88">
        <w:rPr>
          <w:rFonts w:ascii="Arial" w:hAnsi="Arial" w:cs="Arial"/>
          <w:sz w:val="20"/>
        </w:rPr>
        <w:t>,</w:t>
      </w:r>
      <w:r w:rsidR="00381581" w:rsidRPr="00042B88">
        <w:rPr>
          <w:rFonts w:ascii="Arial" w:hAnsi="Arial" w:cs="Arial"/>
          <w:sz w:val="20"/>
        </w:rPr>
        <w:t>00</w:t>
      </w:r>
      <w:r w:rsidRPr="00042B88">
        <w:rPr>
          <w:rFonts w:ascii="Arial" w:hAnsi="Arial" w:cs="Arial"/>
          <w:sz w:val="20"/>
        </w:rPr>
        <w:t>0 Mbh (</w:t>
      </w:r>
      <w:r w:rsidR="00381581" w:rsidRPr="00042B88">
        <w:rPr>
          <w:rFonts w:ascii="Arial" w:hAnsi="Arial" w:cs="Arial"/>
          <w:sz w:val="20"/>
        </w:rPr>
        <w:t>879</w:t>
      </w:r>
      <w:r w:rsidRPr="00042B88">
        <w:rPr>
          <w:rFonts w:ascii="Arial" w:hAnsi="Arial" w:cs="Arial"/>
          <w:sz w:val="20"/>
        </w:rPr>
        <w:t xml:space="preserve"> kW).</w:t>
      </w:r>
    </w:p>
    <w:p w:rsidR="0090054B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Inlet </w:t>
      </w:r>
      <w:r w:rsidR="00F82141" w:rsidRPr="00042B88">
        <w:rPr>
          <w:rFonts w:ascii="Arial" w:hAnsi="Arial" w:cs="Arial"/>
          <w:sz w:val="20"/>
        </w:rPr>
        <w:t xml:space="preserve">Gas </w:t>
      </w:r>
      <w:r w:rsidRPr="00042B88">
        <w:rPr>
          <w:rFonts w:ascii="Arial" w:hAnsi="Arial" w:cs="Arial"/>
          <w:sz w:val="20"/>
        </w:rPr>
        <w:t xml:space="preserve">Pressure: 4- to </w:t>
      </w:r>
      <w:r w:rsidR="0084134D" w:rsidRPr="00042B88">
        <w:rPr>
          <w:rFonts w:ascii="Arial" w:hAnsi="Arial" w:cs="Arial"/>
          <w:sz w:val="20"/>
        </w:rPr>
        <w:t>10.5</w:t>
      </w:r>
      <w:r w:rsidRPr="00042B88">
        <w:rPr>
          <w:rFonts w:ascii="Arial" w:hAnsi="Arial" w:cs="Arial"/>
          <w:sz w:val="20"/>
        </w:rPr>
        <w:t>-in. wg (995 to 3235 Pa).</w:t>
      </w:r>
    </w:p>
    <w:p w:rsidR="00D166AC" w:rsidRPr="00042B88" w:rsidRDefault="0090054B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AHRI Certified Thermal Efficiency:</w:t>
      </w:r>
    </w:p>
    <w:p w:rsidR="0090054B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1250:  </w:t>
      </w:r>
      <w:r w:rsidR="009E510E" w:rsidRPr="00042B88">
        <w:rPr>
          <w:rFonts w:ascii="Arial" w:hAnsi="Arial" w:cs="Arial"/>
          <w:sz w:val="20"/>
        </w:rPr>
        <w:t>90</w:t>
      </w:r>
      <w:r w:rsidR="0090054B" w:rsidRPr="00042B88">
        <w:rPr>
          <w:rFonts w:ascii="Arial" w:hAnsi="Arial" w:cs="Arial"/>
          <w:sz w:val="20"/>
        </w:rPr>
        <w:t xml:space="preserve"> percent.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1500</w:t>
      </w:r>
      <w:r w:rsidRPr="00042B88">
        <w:rPr>
          <w:rFonts w:ascii="Arial" w:hAnsi="Arial" w:cs="Arial"/>
          <w:sz w:val="20"/>
        </w:rPr>
        <w:t xml:space="preserve">:  </w:t>
      </w:r>
      <w:r w:rsidR="00042B88" w:rsidRPr="00042B88">
        <w:rPr>
          <w:rFonts w:ascii="Arial" w:hAnsi="Arial" w:cs="Arial"/>
          <w:sz w:val="20"/>
        </w:rPr>
        <w:t>89</w:t>
      </w:r>
      <w:r w:rsidRPr="00042B88">
        <w:rPr>
          <w:rFonts w:ascii="Arial" w:hAnsi="Arial" w:cs="Arial"/>
          <w:sz w:val="20"/>
        </w:rPr>
        <w:t xml:space="preserve"> percent. 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1750</w:t>
      </w:r>
      <w:r w:rsidRPr="00042B88">
        <w:rPr>
          <w:rFonts w:ascii="Arial" w:hAnsi="Arial" w:cs="Arial"/>
          <w:sz w:val="20"/>
        </w:rPr>
        <w:t xml:space="preserve">:  </w:t>
      </w:r>
      <w:r w:rsidR="00042B88" w:rsidRPr="00042B88">
        <w:rPr>
          <w:rFonts w:ascii="Arial" w:hAnsi="Arial" w:cs="Arial"/>
          <w:sz w:val="20"/>
        </w:rPr>
        <w:t>88</w:t>
      </w:r>
      <w:r w:rsidRPr="00042B88">
        <w:rPr>
          <w:rFonts w:ascii="Arial" w:hAnsi="Arial" w:cs="Arial"/>
          <w:sz w:val="20"/>
        </w:rPr>
        <w:t xml:space="preserve"> percent. 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2000</w:t>
      </w:r>
      <w:r w:rsidRPr="00042B88">
        <w:rPr>
          <w:rFonts w:ascii="Arial" w:hAnsi="Arial" w:cs="Arial"/>
          <w:sz w:val="20"/>
        </w:rPr>
        <w:t xml:space="preserve">:  90 percent. 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2500</w:t>
      </w:r>
      <w:r w:rsidRPr="00042B88">
        <w:rPr>
          <w:rFonts w:ascii="Arial" w:hAnsi="Arial" w:cs="Arial"/>
          <w:sz w:val="20"/>
        </w:rPr>
        <w:t xml:space="preserve">:  90 percent. 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3000</w:t>
      </w:r>
      <w:r w:rsidRPr="00042B88">
        <w:rPr>
          <w:rFonts w:ascii="Arial" w:hAnsi="Arial" w:cs="Arial"/>
          <w:sz w:val="20"/>
        </w:rPr>
        <w:t xml:space="preserve">:  </w:t>
      </w:r>
      <w:r w:rsidR="000A4676" w:rsidRPr="00042B88">
        <w:rPr>
          <w:rFonts w:ascii="Arial" w:hAnsi="Arial" w:cs="Arial"/>
          <w:sz w:val="20"/>
        </w:rPr>
        <w:t>87</w:t>
      </w:r>
      <w:r w:rsidRPr="00042B88">
        <w:rPr>
          <w:rFonts w:ascii="Arial" w:hAnsi="Arial" w:cs="Arial"/>
          <w:sz w:val="20"/>
        </w:rPr>
        <w:t xml:space="preserve"> percent. </w:t>
      </w:r>
    </w:p>
    <w:p w:rsidR="0090054B" w:rsidRPr="00042B88" w:rsidRDefault="00F82141" w:rsidP="00F67942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Available Voltages</w:t>
      </w:r>
      <w:r w:rsidR="0090054B" w:rsidRPr="00042B88">
        <w:rPr>
          <w:rFonts w:ascii="Arial" w:hAnsi="Arial" w:cs="Arial"/>
          <w:sz w:val="20"/>
        </w:rPr>
        <w:t>:</w:t>
      </w:r>
    </w:p>
    <w:p w:rsidR="00042B88" w:rsidRPr="00042B88" w:rsidRDefault="00D166AC" w:rsidP="00F67942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1250:</w:t>
      </w:r>
    </w:p>
    <w:p w:rsidR="0090054B" w:rsidRPr="00042B88" w:rsidRDefault="00F82141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042B88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1500</w:t>
      </w:r>
      <w:r w:rsidRPr="00042B88">
        <w:rPr>
          <w:rFonts w:ascii="Arial" w:hAnsi="Arial" w:cs="Arial"/>
          <w:sz w:val="20"/>
        </w:rPr>
        <w:t>:</w:t>
      </w:r>
    </w:p>
    <w:p w:rsidR="00D166AC" w:rsidRPr="00042B88" w:rsidRDefault="00D166AC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1750</w:t>
      </w:r>
      <w:r w:rsidRPr="00042B88">
        <w:rPr>
          <w:rFonts w:ascii="Arial" w:hAnsi="Arial" w:cs="Arial"/>
          <w:sz w:val="20"/>
        </w:rPr>
        <w:t>: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lastRenderedPageBreak/>
        <w:t>208-V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D166AC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2000</w:t>
      </w:r>
      <w:r w:rsidRPr="00042B88">
        <w:rPr>
          <w:rFonts w:ascii="Arial" w:hAnsi="Arial" w:cs="Arial"/>
          <w:sz w:val="20"/>
        </w:rPr>
        <w:t>: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042B88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2500</w:t>
      </w:r>
      <w:r w:rsidRPr="00042B88">
        <w:rPr>
          <w:rFonts w:ascii="Arial" w:hAnsi="Arial" w:cs="Arial"/>
          <w:sz w:val="20"/>
        </w:rPr>
        <w:t>: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D166AC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</w:t>
      </w:r>
      <w:r w:rsidR="00D166AC" w:rsidRPr="00042B88">
        <w:rPr>
          <w:rFonts w:ascii="Arial" w:hAnsi="Arial" w:cs="Arial"/>
          <w:sz w:val="20"/>
        </w:rPr>
        <w:t>-V ac, single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three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480-V ac, </w:t>
      </w:r>
      <w:bookmarkStart w:id="1" w:name="_GoBack"/>
      <w:bookmarkEnd w:id="1"/>
      <w:r w:rsidRPr="00042B88">
        <w:rPr>
          <w:rFonts w:ascii="Arial" w:hAnsi="Arial" w:cs="Arial"/>
          <w:sz w:val="20"/>
        </w:rPr>
        <w:t>three phase, 60 Hz.</w:t>
      </w:r>
    </w:p>
    <w:p w:rsidR="00042B88" w:rsidRPr="00042B88" w:rsidRDefault="00042B88" w:rsidP="00042B88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600-V ac, three phase, 60 Hz.</w:t>
      </w:r>
    </w:p>
    <w:p w:rsidR="000A4676" w:rsidRPr="00042B88" w:rsidRDefault="00D166AC" w:rsidP="00D166AC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</w:t>
      </w:r>
      <w:r w:rsidRPr="00042B88">
        <w:rPr>
          <w:rFonts w:ascii="Arial" w:hAnsi="Arial" w:cs="Arial"/>
          <w:sz w:val="20"/>
        </w:rPr>
        <w:t>3000</w:t>
      </w:r>
      <w:r w:rsidRPr="00042B88">
        <w:rPr>
          <w:rFonts w:ascii="Arial" w:hAnsi="Arial" w:cs="Arial"/>
          <w:sz w:val="20"/>
        </w:rPr>
        <w:t>:</w:t>
      </w:r>
    </w:p>
    <w:p w:rsidR="00D166AC" w:rsidRPr="00042B88" w:rsidRDefault="000A4676" w:rsidP="000A4676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</w:t>
      </w:r>
      <w:r w:rsidR="00D166AC" w:rsidRPr="00042B88">
        <w:rPr>
          <w:rFonts w:ascii="Arial" w:hAnsi="Arial" w:cs="Arial"/>
          <w:sz w:val="20"/>
        </w:rPr>
        <w:t xml:space="preserve">-V ac, </w:t>
      </w:r>
      <w:r w:rsidRPr="00042B88">
        <w:rPr>
          <w:rFonts w:ascii="Arial" w:hAnsi="Arial" w:cs="Arial"/>
          <w:sz w:val="20"/>
        </w:rPr>
        <w:t>three</w:t>
      </w:r>
      <w:r w:rsidR="00D166AC" w:rsidRPr="00042B88">
        <w:rPr>
          <w:rFonts w:ascii="Arial" w:hAnsi="Arial" w:cs="Arial"/>
          <w:sz w:val="20"/>
        </w:rPr>
        <w:t xml:space="preserve"> phase, 60 Hz.</w:t>
      </w:r>
    </w:p>
    <w:p w:rsidR="000A4676" w:rsidRPr="00042B88" w:rsidRDefault="000A4676" w:rsidP="000A4676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480-V ac, three phase, 60 Hz.</w:t>
      </w:r>
    </w:p>
    <w:p w:rsidR="000A4676" w:rsidRPr="00042B88" w:rsidRDefault="000A4676" w:rsidP="000A4676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600-V ac, three phase, 60 Hz.</w:t>
      </w:r>
    </w:p>
    <w:p w:rsidR="00381581" w:rsidRPr="00042B88" w:rsidRDefault="00381581" w:rsidP="00381581">
      <w:pPr>
        <w:pStyle w:val="PR1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Heater</w:t>
      </w:r>
      <w:r w:rsidRPr="00042B88">
        <w:rPr>
          <w:rFonts w:ascii="Arial" w:hAnsi="Arial" w:cs="Arial"/>
          <w:sz w:val="20"/>
        </w:rPr>
        <w:t xml:space="preserve"> Intake and Exhaust Vent Piping:  Install flue-venting and combustion-air intake.</w:t>
      </w:r>
    </w:p>
    <w:p w:rsidR="00381581" w:rsidRPr="00042B88" w:rsidRDefault="00381581" w:rsidP="00381581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For </w:t>
      </w:r>
      <w:r w:rsidRPr="00042B88">
        <w:rPr>
          <w:rFonts w:ascii="Arial" w:hAnsi="Arial" w:cs="Arial"/>
          <w:sz w:val="20"/>
        </w:rPr>
        <w:t>heaters</w:t>
      </w:r>
      <w:r w:rsidRPr="00042B88">
        <w:rPr>
          <w:rFonts w:ascii="Arial" w:hAnsi="Arial" w:cs="Arial"/>
          <w:sz w:val="20"/>
        </w:rPr>
        <w:t xml:space="preserve"> placed indoors:</w:t>
      </w:r>
    </w:p>
    <w:p w:rsidR="00381581" w:rsidRPr="00A02AA5" w:rsidRDefault="00381581" w:rsidP="00381581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Intake air may be taken from the room, or ducted to the </w:t>
      </w:r>
      <w:r w:rsidRPr="00042B88">
        <w:rPr>
          <w:rFonts w:ascii="Arial" w:hAnsi="Arial" w:cs="Arial"/>
          <w:sz w:val="20"/>
        </w:rPr>
        <w:t>heater</w:t>
      </w:r>
      <w:r w:rsidRPr="00042B88">
        <w:rPr>
          <w:rFonts w:ascii="Arial" w:hAnsi="Arial" w:cs="Arial"/>
          <w:sz w:val="20"/>
        </w:rPr>
        <w:t xml:space="preserve"> with up to 100 equivalent feet of pipe.  Air pipe material may be</w:t>
      </w:r>
      <w:r w:rsidRPr="00A02AA5">
        <w:rPr>
          <w:rFonts w:ascii="Arial" w:hAnsi="Arial" w:cs="Arial"/>
          <w:sz w:val="20"/>
        </w:rPr>
        <w:t xml:space="preserve"> PVC, CPVC, galvanized steel, polypropylene or ABS.  Pipe diameter may be: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1250:  6 inch.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1500:  6 inch.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1750:  8 inch.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2000:  8 inch.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2500:  8 inch.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3000:  10 inch.</w:t>
      </w:r>
    </w:p>
    <w:p w:rsidR="00381581" w:rsidRPr="00A02AA5" w:rsidRDefault="00381581" w:rsidP="00381581">
      <w:pPr>
        <w:pStyle w:val="PR3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Exhaust vent may be Category IV or Category II.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Category IV vent may be up to 100 equivalent feet of pipe.  Vent pipe material must be stainless steel UL 1738, and properly sealed.  Vent pipe diameter may be: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1250:  6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1500:  6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1750:  8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2000:  8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2500:  8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3000:  10 inch.</w:t>
      </w:r>
    </w:p>
    <w:p w:rsidR="00381581" w:rsidRPr="00A02AA5" w:rsidRDefault="00381581" w:rsidP="00381581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Category II vent must be sized to achieve negative draft. Vent pipe material must be stainless steel complying with UL 1738.  Vent pipe diameter will typically be: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1250:  12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1500:  12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1750:  14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2000:  14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2500:  16 inch.</w:t>
      </w:r>
    </w:p>
    <w:p w:rsidR="00381581" w:rsidRPr="00A02AA5" w:rsidRDefault="00381581" w:rsidP="00381581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OC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3000:  16 inch.</w:t>
      </w:r>
    </w:p>
    <w:p w:rsidR="00381581" w:rsidRPr="00A02AA5" w:rsidRDefault="00381581" w:rsidP="00381581">
      <w:pPr>
        <w:pStyle w:val="PR2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 xml:space="preserve">For </w:t>
      </w:r>
      <w:r>
        <w:rPr>
          <w:rFonts w:ascii="Arial" w:hAnsi="Arial" w:cs="Arial"/>
          <w:sz w:val="20"/>
        </w:rPr>
        <w:t>heaters</w:t>
      </w:r>
      <w:r w:rsidRPr="00A02AA5">
        <w:rPr>
          <w:rFonts w:ascii="Arial" w:hAnsi="Arial" w:cs="Arial"/>
          <w:sz w:val="20"/>
        </w:rPr>
        <w:t xml:space="preserve"> placed outdoors, use air intake and exhaust vent accessories from boiler manufacturer.</w:t>
      </w:r>
    </w:p>
    <w:p w:rsidR="00F67942" w:rsidRPr="00F02078" w:rsidRDefault="00F67942" w:rsidP="00381581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Comply with all </w:t>
      </w:r>
      <w:r w:rsidR="00256543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manufacturer’s installation instructions.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SOURCE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Hydrostatically test commercial domestic-water heaters to minimum of one and one-half times pressure rating before shipment.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IDENTIFICATION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FIELD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DEMONSTRATION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C6" w:rsidRDefault="00AB64C6">
      <w:r>
        <w:separator/>
      </w:r>
    </w:p>
  </w:endnote>
  <w:endnote w:type="continuationSeparator" w:id="0">
    <w:p w:rsidR="00AB64C6" w:rsidRDefault="00A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7609C2">
      <w:rPr>
        <w:rFonts w:ascii="Arial" w:hAnsi="Arial" w:cs="Arial"/>
        <w:color w:val="4472C4" w:themeColor="accent1"/>
        <w:sz w:val="20"/>
      </w:rPr>
      <w:t>Omni</w:t>
    </w:r>
    <w:r w:rsidRPr="00507FF9">
      <w:rPr>
        <w:rFonts w:ascii="Arial" w:hAnsi="Arial" w:cs="Arial"/>
        <w:color w:val="4472C4" w:themeColor="accent1"/>
        <w:sz w:val="20"/>
      </w:rPr>
      <w:t xml:space="preserve">Therm </w:t>
    </w:r>
    <w:r w:rsidR="00284D63">
      <w:rPr>
        <w:rFonts w:ascii="Arial" w:hAnsi="Arial" w:cs="Arial"/>
        <w:color w:val="4472C4" w:themeColor="accent1"/>
        <w:sz w:val="20"/>
      </w:rPr>
      <w:t xml:space="preserve">Cat II / IV </w:t>
    </w:r>
    <w:r w:rsidR="007609C2">
      <w:rPr>
        <w:rFonts w:ascii="Arial" w:hAnsi="Arial" w:cs="Arial"/>
        <w:color w:val="4472C4" w:themeColor="accent1"/>
        <w:sz w:val="20"/>
      </w:rPr>
      <w:t>O</w:t>
    </w:r>
    <w:r w:rsidR="00284D63">
      <w:rPr>
        <w:rFonts w:ascii="Arial" w:hAnsi="Arial" w:cs="Arial"/>
        <w:color w:val="4472C4" w:themeColor="accent1"/>
        <w:sz w:val="20"/>
      </w:rPr>
      <w:t>C</w:t>
    </w:r>
    <w:r w:rsidR="0080699F">
      <w:rPr>
        <w:rFonts w:ascii="Arial" w:hAnsi="Arial" w:cs="Arial"/>
        <w:color w:val="4472C4" w:themeColor="accent1"/>
        <w:sz w:val="20"/>
      </w:rPr>
      <w:t>V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7609C2">
      <w:rPr>
        <w:rFonts w:ascii="Arial" w:hAnsi="Arial" w:cs="Arial"/>
        <w:color w:val="4472C4" w:themeColor="accent1"/>
        <w:sz w:val="20"/>
      </w:rPr>
      <w:t>1</w:t>
    </w:r>
    <w:r w:rsidR="00284D63">
      <w:rPr>
        <w:rFonts w:ascii="Arial" w:hAnsi="Arial" w:cs="Arial"/>
        <w:color w:val="4472C4" w:themeColor="accent1"/>
        <w:sz w:val="20"/>
      </w:rPr>
      <w:t>8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C6" w:rsidRDefault="00AB64C6">
      <w:r>
        <w:separator/>
      </w:r>
    </w:p>
  </w:footnote>
  <w:footnote w:type="continuationSeparator" w:id="0">
    <w:p w:rsidR="00AB64C6" w:rsidRDefault="00A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9-03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eastAsiaTheme="majorEastAsia" w:hAnsi="Arial" w:cs="Arial"/>
            <w:color w:val="4472C4" w:themeColor="accent1"/>
            <w:sz w:val="20"/>
          </w:rPr>
          <w:t>September 3,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42B88"/>
    <w:rsid w:val="000A4676"/>
    <w:rsid w:val="001C5921"/>
    <w:rsid w:val="001C6A2E"/>
    <w:rsid w:val="00230119"/>
    <w:rsid w:val="00234CA2"/>
    <w:rsid w:val="00256543"/>
    <w:rsid w:val="00284D63"/>
    <w:rsid w:val="002D065F"/>
    <w:rsid w:val="002D0C74"/>
    <w:rsid w:val="002E5469"/>
    <w:rsid w:val="00381581"/>
    <w:rsid w:val="0039032D"/>
    <w:rsid w:val="003A4EBE"/>
    <w:rsid w:val="003F5644"/>
    <w:rsid w:val="0042452D"/>
    <w:rsid w:val="0043256E"/>
    <w:rsid w:val="00491786"/>
    <w:rsid w:val="005416FE"/>
    <w:rsid w:val="005705AD"/>
    <w:rsid w:val="005D4FFC"/>
    <w:rsid w:val="005D582C"/>
    <w:rsid w:val="005E7AF3"/>
    <w:rsid w:val="00606DE6"/>
    <w:rsid w:val="00652D5C"/>
    <w:rsid w:val="006826BA"/>
    <w:rsid w:val="0069287E"/>
    <w:rsid w:val="006970FB"/>
    <w:rsid w:val="006C6BC2"/>
    <w:rsid w:val="006D3551"/>
    <w:rsid w:val="006F3C6A"/>
    <w:rsid w:val="00702C70"/>
    <w:rsid w:val="00745C52"/>
    <w:rsid w:val="007609C2"/>
    <w:rsid w:val="007F2799"/>
    <w:rsid w:val="0080699F"/>
    <w:rsid w:val="0084134D"/>
    <w:rsid w:val="00871B83"/>
    <w:rsid w:val="00875E74"/>
    <w:rsid w:val="008D53A4"/>
    <w:rsid w:val="008F6FCB"/>
    <w:rsid w:val="0090054B"/>
    <w:rsid w:val="00946F58"/>
    <w:rsid w:val="009E510E"/>
    <w:rsid w:val="00A13BFF"/>
    <w:rsid w:val="00A23A7C"/>
    <w:rsid w:val="00A96BEF"/>
    <w:rsid w:val="00AB0172"/>
    <w:rsid w:val="00AB64C6"/>
    <w:rsid w:val="00C34F51"/>
    <w:rsid w:val="00C416FF"/>
    <w:rsid w:val="00CD46BC"/>
    <w:rsid w:val="00CE4E24"/>
    <w:rsid w:val="00D05E6F"/>
    <w:rsid w:val="00D166AC"/>
    <w:rsid w:val="00D20A2C"/>
    <w:rsid w:val="00DF6D72"/>
    <w:rsid w:val="00E473C6"/>
    <w:rsid w:val="00E727E9"/>
    <w:rsid w:val="00E7384C"/>
    <w:rsid w:val="00EC1ADF"/>
    <w:rsid w:val="00EE6C95"/>
    <w:rsid w:val="00F02078"/>
    <w:rsid w:val="00F06098"/>
    <w:rsid w:val="00F25AD5"/>
    <w:rsid w:val="00F67942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1FB351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8764DBDE94016B147F52349D8B3C0">
    <w:name w:val="10A8764DBDE94016B147F52349D8B3C0"/>
    <w:rsid w:val="00662EC7"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7</cp:revision>
  <dcterms:created xsi:type="dcterms:W3CDTF">2020-12-15T15:05:00Z</dcterms:created>
  <dcterms:modified xsi:type="dcterms:W3CDTF">2020-12-15T15:48:00Z</dcterms:modified>
</cp:coreProperties>
</file>