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56"/>
        <w:ind w:left="140" w:right="-31"/>
      </w:pPr>
      <w:r>
        <w:pict>
          <v:group style="position:absolute;margin-left:54pt;margin-top:30pt;width:344pt;height:0pt;mso-position-horizontal-relative:page;mso-position-vertical-relative:page;z-index:-233" coordorigin="1080,600" coordsize="6880,0">
            <v:shape style="position:absolute;left:1080;top:600;width:6880;height:0" coordorigin="1080,600" coordsize="6880,0" path="m1080,600l7960,600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103.942pt;width:180pt;height:0pt;mso-position-horizontal-relative:page;mso-position-vertical-relative:paragraph;z-index:-232" coordorigin="1080,2079" coordsize="3600,0">
            <v:shape style="position:absolute;left:1080;top:2079;width:3600;height:0" coordorigin="1080,2079" coordsize="3600,0" path="m1080,2079l4680,2079e" filled="f" stroked="t" strokeweight="12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0"/>
          <w:szCs w:val="60"/>
        </w:rPr>
        <w:jc w:val="left"/>
        <w:spacing w:before="2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Might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56"/>
          <w:szCs w:val="56"/>
        </w:rPr>
        <w:t>y</w:t>
      </w:r>
      <w:r>
        <w:rPr>
          <w:rFonts w:cs="Swis721 BlkCn BT" w:hAnsi="Swis721 BlkCn BT" w:eastAsia="Swis721 BlkCn BT" w:ascii="Swis721 BlkCn BT"/>
          <w:color w:val="221F1F"/>
          <w:spacing w:val="-19"/>
          <w:w w:val="100"/>
          <w:sz w:val="56"/>
          <w:szCs w:val="56"/>
        </w:rPr>
        <w:t> </w:t>
      </w:r>
      <w:r>
        <w:rPr>
          <w:rFonts w:cs="Swis721 BlkCn BT" w:hAnsi="Swis721 BlkCn BT" w:eastAsia="Swis721 BlkCn BT" w:ascii="Swis721 BlkCn BT"/>
          <w:color w:val="221F1F"/>
          <w:spacing w:val="-13"/>
          <w:w w:val="100"/>
          <w:sz w:val="56"/>
          <w:szCs w:val="56"/>
        </w:rPr>
        <w:t>Ther</w:t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56"/>
          <w:szCs w:val="56"/>
        </w:rPr>
        <w:t>m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60"/>
          <w:szCs w:val="60"/>
        </w:rPr>
        <w:t>2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0"/>
          <w:szCs w:val="60"/>
        </w:rPr>
      </w:r>
    </w:p>
    <w:p>
      <w:pPr>
        <w:rPr>
          <w:rFonts w:cs="Swis721 BlkCn BT" w:hAnsi="Swis721 BlkCn BT" w:eastAsia="Swis721 BlkCn BT" w:ascii="Swis721 BlkCn BT"/>
          <w:sz w:val="44"/>
          <w:szCs w:val="44"/>
        </w:rPr>
        <w:jc w:val="left"/>
        <w:spacing w:before="25"/>
      </w:pPr>
      <w:r>
        <w:rPr>
          <w:rFonts w:cs="Swis721 BlkCn BT" w:hAnsi="Swis721 BlkCn BT" w:eastAsia="Swis721 BlkCn BT" w:ascii="Swis721 BlkCn BT"/>
          <w:color w:val="221F1F"/>
          <w:spacing w:val="-11"/>
          <w:w w:val="100"/>
          <w:sz w:val="44"/>
          <w:szCs w:val="44"/>
        </w:rPr>
        <w:t>P</w:t>
      </w:r>
      <w:r>
        <w:rPr>
          <w:rFonts w:cs="Swis721 BlkCn BT" w:hAnsi="Swis721 BlkCn BT" w:eastAsia="Swis721 BlkCn BT" w:ascii="Swis721 BlkCn BT"/>
          <w:color w:val="221F1F"/>
          <w:spacing w:val="-7"/>
          <w:w w:val="100"/>
          <w:sz w:val="44"/>
          <w:szCs w:val="44"/>
        </w:rPr>
        <w:t>ump-Mounted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44"/>
          <w:szCs w:val="44"/>
        </w:rPr>
      </w:r>
    </w:p>
    <w:p>
      <w:pPr>
        <w:rPr>
          <w:rFonts w:cs="Swis721 BlkCn BT" w:hAnsi="Swis721 BlkCn BT" w:eastAsia="Swis721 BlkCn BT" w:ascii="Swis721 BlkCn BT"/>
          <w:sz w:val="44"/>
          <w:szCs w:val="44"/>
        </w:rPr>
        <w:jc w:val="left"/>
        <w:spacing w:before="32"/>
      </w:pPr>
      <w:r>
        <w:rPr>
          <w:rFonts w:cs="Swis721 BlkCn BT" w:hAnsi="Swis721 BlkCn BT" w:eastAsia="Swis721 BlkCn BT" w:ascii="Swis721 BlkCn BT"/>
          <w:color w:val="221F1F"/>
          <w:spacing w:val="-8"/>
          <w:w w:val="100"/>
          <w:sz w:val="44"/>
          <w:szCs w:val="44"/>
        </w:rPr>
        <w:t>Hydroni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sz w:val="44"/>
          <w:szCs w:val="44"/>
        </w:rPr>
        <w:t>c</w:t>
      </w:r>
      <w:r>
        <w:rPr>
          <w:rFonts w:cs="Swis721 BlkCn BT" w:hAnsi="Swis721 BlkCn BT" w:eastAsia="Swis721 BlkCn BT" w:ascii="Swis721 BlkCn BT"/>
          <w:color w:val="221F1F"/>
          <w:spacing w:val="-12"/>
          <w:w w:val="100"/>
          <w:sz w:val="44"/>
          <w:szCs w:val="44"/>
        </w:rPr>
        <w:t> </w:t>
      </w:r>
      <w:r>
        <w:rPr>
          <w:rFonts w:cs="Swis721 BlkCn BT" w:hAnsi="Swis721 BlkCn BT" w:eastAsia="Swis721 BlkCn BT" w:ascii="Swis721 BlkCn BT"/>
          <w:color w:val="221F1F"/>
          <w:spacing w:val="-8"/>
          <w:w w:val="100"/>
          <w:sz w:val="44"/>
          <w:szCs w:val="44"/>
        </w:rPr>
        <w:t>Boiler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10.25pt;margin-top:-2.20811pt;width:166.05pt;height:14.5pt;mso-position-horizontal-relative:page;mso-position-vertical-relative:paragraph;z-index:-231" coordorigin="8205,-44" coordsize="3321,290">
            <v:shape style="position:absolute;left:8205;top:-44;width:3321;height:290" coordorigin="8205,-44" coordsize="3321,290" path="m8205,-44l11526,-44,11526,246,8205,246,8205,-44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MT2H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200-400</w:t>
      </w:r>
      <w:r>
        <w:rPr>
          <w:rFonts w:cs="Arial" w:hAnsi="Arial" w:eastAsia="Arial" w:ascii="Arial"/>
          <w:color w:val="22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Indoor/Outdoor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pgSz w:w="12240" w:h="15840"/>
          <w:pgMar w:top="320" w:bottom="280" w:left="940" w:right="580"/>
          <w:cols w:num="2" w:equalWidth="off">
            <w:col w:w="4791" w:space="2469"/>
            <w:col w:w="346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Contractor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supply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install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pump-mounted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boiler(s).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74" w:lineRule="auto" w:line="257"/>
        <w:ind w:left="120" w:right="14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Mighty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Therm2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Model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MT2H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  <w:u w:val="single" w:color="221F1F"/>
        </w:rPr>
        <w:t>                </w:t>
      </w:r>
      <w:r>
        <w:rPr>
          <w:rFonts w:cs="Arial" w:hAnsi="Arial" w:eastAsia="Arial" w:ascii="Arial"/>
          <w:color w:val="221F1F"/>
          <w:spacing w:val="47"/>
          <w:w w:val="100"/>
          <w:sz w:val="17"/>
          <w:szCs w:val="17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output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shown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schedule.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Z21.13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CSA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4.9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Gas-Fired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Steam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use.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Vessel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Code,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bear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"H"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Stamp.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unit(s)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comply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requirements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latest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edition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SHRAE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90.1.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60" w:lineRule="auto" w:line="257"/>
        <w:ind w:left="120" w:right="26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straight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5/8"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(16mm)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copper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tubes,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(1103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gask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non-metallic,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separated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eliminate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deterioration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covers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visual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year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47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header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complete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facilitate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maintenance.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31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complete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in-line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wired,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correct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flow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thirty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1-1/2"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normal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number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fittings,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primary/secondary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applications.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1" w:lineRule="auto" w:line="257"/>
        <w:ind w:left="120" w:right="242" w:firstLine="180"/>
      </w:pP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us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prove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ho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surfac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ignitio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secon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pre-purg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cycl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clea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ou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97"/>
          <w:sz w:val="17"/>
          <w:szCs w:val="17"/>
        </w:rPr>
        <w:t>combustio</w:t>
      </w:r>
      <w:r>
        <w:rPr>
          <w:rFonts w:cs="Arial" w:hAnsi="Arial" w:eastAsia="Arial" w:ascii="Arial"/>
          <w:color w:val="221F1F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8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Upo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flam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detected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ignitio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modul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mor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times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lockout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los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flam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durin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ignitio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attemp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re-ignitio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cycle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befor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lockin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ignitio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terminal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checkin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flame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signa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withou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havin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remov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acces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ignitor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circui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24V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Uni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120V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singl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phase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les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22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Amps.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15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multi-port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cleanly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10ppm.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easily-removable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assemblies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18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one-piece,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formed,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lightweight,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ceramic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fiberboard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insulation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retain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approved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service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temperatures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2000°F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(1093°C).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rylic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thermo-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flame.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41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forced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85%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efficiency.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B-vent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fan-assisted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III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appliance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quire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draft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hood.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room.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either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combination.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Changing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top-to-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back-to-top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orientation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easily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accomplished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field.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0" w:lineRule="auto" w:line="257"/>
        <w:ind w:left="120" w:right="229" w:firstLine="243"/>
      </w:pP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standar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on/of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optio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two-stag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equippe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mperature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outdoo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weathe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shutdown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domesti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operation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automati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differential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sensor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indicato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light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power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hea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domesti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wate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war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weathe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shutdown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controller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pum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exercis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features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pre-purg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post-purg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blower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manua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rese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hig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limit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termina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stri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wirin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troubleshooting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externa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selecto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switc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enabl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choos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betwee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field-supplie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stagin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withou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bypassin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boiler’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safet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controls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boile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shal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hav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flip-u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pane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easy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acces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contro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2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components.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170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shutoff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redundant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seat(s)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regulator(s).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flanged,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permit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easy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valve,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assembly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front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unit.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0" w:lineRule="auto" w:line="257"/>
        <w:ind w:left="120" w:right="491" w:firstLine="18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integral,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washable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provide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83%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arrestence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rotect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blower(s)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debris.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filter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out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open-cell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polyurethane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foam.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140"/>
        <w:sectPr>
          <w:type w:val="continuous"/>
          <w:pgSz w:w="12240" w:h="15840"/>
          <w:pgMar w:top="320" w:bottom="280" w:left="940" w:right="580"/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70" w:lineRule="exact" w:line="180"/>
        <w:ind w:left="140"/>
      </w:pP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Standard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features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shall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position w:val="-1"/>
          <w:sz w:val="17"/>
          <w:szCs w:val="17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6"/>
          <w:szCs w:val="26"/>
        </w:rPr>
        <w:jc w:val="left"/>
        <w:spacing w:lineRule="exact" w:line="260"/>
        <w:sectPr>
          <w:pgSz w:w="12240" w:h="15840"/>
          <w:pgMar w:top="840" w:bottom="280" w:left="580" w:right="9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8" w:lineRule="auto" w:line="257"/>
        <w:ind w:left="260" w:right="-29" w:hanging="12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160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heat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exchanger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0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ASME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“H”</w:t>
      </w:r>
      <w:r>
        <w:rPr>
          <w:rFonts w:cs="Arial" w:hAnsi="Arial" w:eastAsia="Arial" w:ascii="Arial"/>
          <w:color w:val="221F1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stamp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wired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left="140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Flanged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connections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burners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ind w:right="-49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54"/>
        <w:ind w:left="134" w:right="478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III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systems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Air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pressure</w:t>
      </w:r>
      <w:r>
        <w:rPr>
          <w:rFonts w:cs="Arial" w:hAnsi="Arial" w:eastAsia="Arial" w:ascii="Arial"/>
          <w:color w:val="221F1F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 w:lineRule="exact" w:line="180"/>
      </w:pPr>
      <w:r>
        <w:pict>
          <v:shape type="#_x0000_t202" style="position:absolute;margin-left:34pt;margin-top:129.626pt;width:523.5pt;height:132.976pt;mso-position-horizontal-relative:page;mso-position-vertical-relative:page;z-index:-2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5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Glass-line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headers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External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header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gaskets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Burner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site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glass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4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controller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Flo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Manual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reset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high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limit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3" w:lineRule="auto" w:line="257"/>
                          <w:ind w:left="160" w:right="586" w:hanging="12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75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psi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(517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kPa)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ASME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rated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pressure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relief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valve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1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doo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rese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wit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ratio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4"/>
                          <w:ind w:left="762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7"/>
                            <w:szCs w:val="17"/>
                          </w:rPr>
                          <w:t>3.6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Fusible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link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(size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200)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On-off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firing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Temperature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pressure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gauge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20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10"/>
                            <w:w w:val="100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position w:val="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position w:val="1"/>
                            <w:sz w:val="17"/>
                            <w:szCs w:val="17"/>
                          </w:rPr>
                          <w:t>weathe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position w:val="1"/>
                            <w:sz w:val="17"/>
                            <w:szCs w:val="17"/>
                          </w:rPr>
                          <w:t>shu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position w:val="1"/>
                            <w:sz w:val="17"/>
                            <w:szCs w:val="17"/>
                          </w:rPr>
                          <w:t>down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Certified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indoor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outdoor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use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Multiple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operating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valve/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40"/>
                          <w:ind w:left="764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4"/>
                            <w:sz w:val="17"/>
                            <w:szCs w:val="17"/>
                          </w:rPr>
                          <w:t>call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4"/>
                            <w:sz w:val="17"/>
                            <w:szCs w:val="17"/>
                          </w:rPr>
                          <w:t>DH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4"/>
                            <w:sz w:val="17"/>
                            <w:szCs w:val="17"/>
                          </w:rPr>
                          <w:t>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4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4"/>
                            <w:sz w:val="17"/>
                            <w:szCs w:val="17"/>
                          </w:rPr>
                          <w:t>WWSD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Hot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surface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ignition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60"/>
                          <w:ind w:left="127" w:right="1322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pressur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regulators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before="54"/>
                          <w:ind w:left="7" w:right="1192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Manual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“A”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valve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63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"/>
                            <w:w w:val="100"/>
                            <w:sz w:val="17"/>
                            <w:szCs w:val="17"/>
                          </w:rPr>
                          <w:t>DH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"/>
                            <w:w w:val="100"/>
                            <w:sz w:val="17"/>
                            <w:szCs w:val="17"/>
                          </w:rPr>
                          <w:t>operation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4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4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Automati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boile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0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ferential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On/off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toggle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switch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4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Pump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time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delay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Intake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air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filter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Pum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pre-purge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post-purge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9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CSD-1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compliant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2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Removable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burner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tray(s)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40"/>
                          <w:ind w:left="76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7"/>
                            <w:szCs w:val="17"/>
                          </w:rPr>
                          <w:t>exercise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3" w:lineRule="exact" w:line="16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3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Less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than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10ppm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NOx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615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Blowe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pre-purg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sz w:val="17"/>
                            <w:szCs w:val="17"/>
                          </w:rPr>
                          <w:t>post-purge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Blocked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257"/>
        <w:ind w:left="145" w:right="850" w:hanging="145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Inlet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outlet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ou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doo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supply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7"/>
          <w:szCs w:val="17"/>
        </w:rPr>
        <w:t>sensors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Code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senso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17"/>
          <w:szCs w:val="17"/>
        </w:rPr>
        <w:t>errors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24V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system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4"/>
        <w:sectPr>
          <w:type w:val="continuous"/>
          <w:pgSz w:w="12240" w:h="15840"/>
          <w:pgMar w:top="320" w:bottom="280" w:left="580" w:right="940"/>
          <w:cols w:num="3" w:equalWidth="off">
            <w:col w:w="2681" w:space="1019"/>
            <w:col w:w="2051" w:space="1509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115/24V</w:t>
      </w:r>
      <w:r>
        <w:rPr>
          <w:rFonts w:cs="Arial" w:hAnsi="Arial" w:eastAsia="Arial" w:ascii="Arial"/>
          <w:color w:val="221F1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transformer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8" w:lineRule="exact" w:line="180"/>
        <w:ind w:left="3667" w:right="4515"/>
      </w:pPr>
      <w:r>
        <w:pict>
          <v:group style="position:absolute;margin-left:35pt;margin-top:715.5pt;width:522.5pt;height:0pt;mso-position-horizontal-relative:page;mso-position-vertical-relative:page;z-index:-230" coordorigin="700,14310" coordsize="10450,0">
            <v:shape style="position:absolute;left:700;top:14310;width:10450;height:0" coordorigin="700,14310" coordsize="10450,0" path="m700,14310l11150,14310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Indicato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ligh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ts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fo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powe</w:t>
      </w:r>
      <w:r>
        <w:rPr>
          <w:rFonts w:cs="Arial" w:hAnsi="Arial" w:eastAsia="Arial" w:ascii="Arial"/>
          <w:color w:val="000000"/>
          <w:spacing w:val="-1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17"/>
          <w:szCs w:val="17"/>
        </w:rPr>
        <w:t>heat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7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229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57" w:right="87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5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56" w:right="1217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2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1301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5084-81B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20" w:bottom="280" w:left="58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